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77755" w14:textId="07DEEE4B" w:rsidR="00800625" w:rsidRDefault="00800625" w:rsidP="0B288391">
      <w:pPr>
        <w:pStyle w:val="NormalWeb"/>
        <w:spacing w:before="0" w:after="0"/>
        <w:contextualSpacing/>
        <w:jc w:val="both"/>
        <w:rPr>
          <w:b/>
          <w:bCs/>
          <w:color w:val="000000" w:themeColor="text1"/>
          <w:sz w:val="26"/>
          <w:szCs w:val="26"/>
        </w:rPr>
      </w:pPr>
      <w:r w:rsidRPr="00DD2804">
        <w:rPr>
          <w:b/>
          <w:bCs/>
          <w:color w:val="000000" w:themeColor="text1"/>
          <w:sz w:val="26"/>
          <w:szCs w:val="26"/>
        </w:rPr>
        <w:t>Excelentíssim</w:t>
      </w:r>
      <w:r w:rsidR="60CF333E" w:rsidRPr="00DD2804">
        <w:rPr>
          <w:b/>
          <w:bCs/>
          <w:color w:val="000000" w:themeColor="text1"/>
          <w:sz w:val="26"/>
          <w:szCs w:val="26"/>
        </w:rPr>
        <w:t>a</w:t>
      </w:r>
      <w:r w:rsidRPr="00DD2804">
        <w:rPr>
          <w:b/>
          <w:bCs/>
          <w:color w:val="000000" w:themeColor="text1"/>
          <w:sz w:val="26"/>
          <w:szCs w:val="26"/>
        </w:rPr>
        <w:t xml:space="preserve"> </w:t>
      </w:r>
      <w:r w:rsidR="00FD2E94">
        <w:rPr>
          <w:b/>
          <w:bCs/>
          <w:color w:val="000000" w:themeColor="text1"/>
          <w:sz w:val="26"/>
          <w:szCs w:val="26"/>
        </w:rPr>
        <w:t xml:space="preserve">Senhora Diretora do Foro </w:t>
      </w:r>
    </w:p>
    <w:p w14:paraId="0E687928" w14:textId="5C1AC4A0" w:rsidR="00FD2E94" w:rsidRDefault="00FD2E94" w:rsidP="0B288391">
      <w:pPr>
        <w:pStyle w:val="NormalWeb"/>
        <w:spacing w:before="0" w:after="0"/>
        <w:contextualSpacing/>
        <w:jc w:val="both"/>
        <w:rPr>
          <w:b/>
          <w:bCs/>
          <w:color w:val="000000" w:themeColor="text1"/>
          <w:sz w:val="26"/>
          <w:szCs w:val="26"/>
        </w:rPr>
      </w:pPr>
      <w:r>
        <w:rPr>
          <w:b/>
          <w:bCs/>
          <w:color w:val="000000" w:themeColor="text1"/>
          <w:sz w:val="26"/>
          <w:szCs w:val="26"/>
        </w:rPr>
        <w:t>Juíza Federal VÂNILA CARDOSO ANDRÉ DE MORAES</w:t>
      </w:r>
    </w:p>
    <w:p w14:paraId="04165AE2" w14:textId="7DCDC9E3" w:rsidR="3944EB09" w:rsidRPr="00DD2804" w:rsidRDefault="00FD2E94" w:rsidP="0B288391">
      <w:pPr>
        <w:pStyle w:val="NormalWeb"/>
        <w:spacing w:before="0" w:after="0"/>
        <w:jc w:val="both"/>
        <w:rPr>
          <w:sz w:val="26"/>
          <w:szCs w:val="26"/>
        </w:rPr>
      </w:pPr>
      <w:r>
        <w:rPr>
          <w:color w:val="000000" w:themeColor="text1"/>
          <w:sz w:val="26"/>
          <w:szCs w:val="26"/>
        </w:rPr>
        <w:t xml:space="preserve">Seção Judiciária de Minas Gerias </w:t>
      </w:r>
    </w:p>
    <w:p w14:paraId="2B077757" w14:textId="61176CC6" w:rsidR="00800625" w:rsidRPr="00DD2804" w:rsidRDefault="00FD2E94" w:rsidP="00800625">
      <w:pPr>
        <w:pStyle w:val="NormalWeb"/>
        <w:spacing w:before="0" w:after="0"/>
        <w:contextualSpacing/>
        <w:jc w:val="both"/>
        <w:rPr>
          <w:sz w:val="26"/>
          <w:szCs w:val="26"/>
          <w:u w:val="single"/>
        </w:rPr>
      </w:pPr>
      <w:r>
        <w:rPr>
          <w:color w:val="000000"/>
          <w:sz w:val="26"/>
          <w:szCs w:val="26"/>
          <w:u w:val="single"/>
        </w:rPr>
        <w:t>Belo Horizonte – BH</w:t>
      </w:r>
    </w:p>
    <w:p w14:paraId="2B077758" w14:textId="77777777" w:rsidR="00800625" w:rsidRPr="00271AD6" w:rsidRDefault="00800625" w:rsidP="00800625">
      <w:pPr>
        <w:pStyle w:val="NormalWeb"/>
        <w:spacing w:before="0" w:after="0"/>
        <w:ind w:left="1701"/>
        <w:jc w:val="right"/>
        <w:rPr>
          <w:b/>
          <w:color w:val="000000"/>
          <w:sz w:val="22"/>
          <w:szCs w:val="22"/>
          <w:u w:val="single"/>
        </w:rPr>
      </w:pPr>
    </w:p>
    <w:p w14:paraId="2B077759" w14:textId="77777777" w:rsidR="00800625" w:rsidRPr="00271AD6" w:rsidRDefault="00800625" w:rsidP="00800625">
      <w:pPr>
        <w:pStyle w:val="NormalWeb"/>
        <w:spacing w:before="0" w:after="0"/>
        <w:ind w:left="1701"/>
        <w:jc w:val="right"/>
        <w:rPr>
          <w:b/>
          <w:color w:val="000000"/>
          <w:sz w:val="22"/>
          <w:szCs w:val="22"/>
          <w:u w:val="single"/>
        </w:rPr>
      </w:pPr>
    </w:p>
    <w:p w14:paraId="2B07775A" w14:textId="77777777" w:rsidR="00800625" w:rsidRPr="00271AD6" w:rsidRDefault="00800625" w:rsidP="00800625">
      <w:pPr>
        <w:pStyle w:val="NormalWeb"/>
        <w:spacing w:before="0" w:after="0"/>
        <w:ind w:left="1701"/>
        <w:jc w:val="right"/>
        <w:rPr>
          <w:b/>
          <w:color w:val="000000"/>
          <w:sz w:val="22"/>
          <w:szCs w:val="22"/>
          <w:u w:val="single"/>
        </w:rPr>
      </w:pPr>
    </w:p>
    <w:p w14:paraId="679F9E69" w14:textId="77777777" w:rsidR="00FD2E94" w:rsidRDefault="00FD2E94" w:rsidP="00FD2E94">
      <w:pPr>
        <w:spacing w:after="0" w:line="240" w:lineRule="auto"/>
        <w:ind w:left="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w:t>
      </w:r>
      <w:proofErr w:type="gramStart"/>
      <w:r>
        <w:rPr>
          <w:rFonts w:ascii="Times New Roman" w:eastAsia="Times New Roman" w:hAnsi="Times New Roman"/>
          <w:color w:val="000000" w:themeColor="text1"/>
          <w:sz w:val="26"/>
          <w:szCs w:val="26"/>
          <w:highlight w:val="yellow"/>
        </w:rPr>
        <w:t>nº</w:t>
      </w:r>
      <w:proofErr w:type="gramEnd"/>
      <w:r>
        <w:rPr>
          <w:rFonts w:ascii="Times New Roman" w:eastAsia="Times New Roman" w:hAnsi="Times New Roman"/>
          <w:color w:val="000000" w:themeColor="text1"/>
          <w:sz w:val="26"/>
          <w:szCs w:val="26"/>
          <w:highlight w:val="yellow"/>
        </w:rPr>
        <w:t xml:space="preserve"> do processo</w:t>
      </w:r>
      <w:r>
        <w:rPr>
          <w:rFonts w:ascii="Times New Roman" w:eastAsia="Times New Roman" w:hAnsi="Times New Roman"/>
          <w:color w:val="000000" w:themeColor="text1"/>
          <w:sz w:val="26"/>
          <w:szCs w:val="26"/>
        </w:rPr>
        <w:t>]</w:t>
      </w:r>
    </w:p>
    <w:p w14:paraId="718D1AB4" w14:textId="77777777" w:rsidR="00FD2E94" w:rsidRDefault="00FD2E94" w:rsidP="00FD2E94">
      <w:pPr>
        <w:spacing w:after="0" w:line="240" w:lineRule="auto"/>
        <w:ind w:left="1701"/>
        <w:jc w:val="both"/>
        <w:rPr>
          <w:rFonts w:ascii="Times New Roman" w:eastAsia="Times New Roman" w:hAnsi="Times New Roman"/>
          <w:color w:val="000000" w:themeColor="text1"/>
          <w:sz w:val="26"/>
          <w:szCs w:val="26"/>
        </w:rPr>
      </w:pPr>
    </w:p>
    <w:p w14:paraId="4D464F32" w14:textId="77777777" w:rsidR="00FD2E94" w:rsidRDefault="00FD2E94" w:rsidP="00FD2E94">
      <w:pPr>
        <w:spacing w:after="0" w:line="240" w:lineRule="auto"/>
        <w:ind w:left="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Ementa: Constitucional e Administrativo. Oficial de Justiça Avaliador Federal. Gratificação de Atividade Externa. Vantagem Pessoal Nominalmente Identificada, oriunda da incorporação dos quintos. Possibilidade de cumulação. Verbas de natureza distintas. Princípio da Legalidade. Violação à segurança jurídica. Vedação à aplicação retroativa de nova interpretação. Direito adquirido à cumulação. Decadência administrativa. Parcela compensatória.</w:t>
      </w:r>
    </w:p>
    <w:p w14:paraId="2B07775B" w14:textId="77777777" w:rsidR="00800625" w:rsidRPr="00271AD6" w:rsidRDefault="00800625" w:rsidP="00800625">
      <w:pPr>
        <w:pStyle w:val="NormalWeb"/>
        <w:spacing w:before="0" w:after="0"/>
        <w:ind w:left="1701"/>
        <w:jc w:val="both"/>
        <w:rPr>
          <w:b/>
          <w:color w:val="000000"/>
          <w:sz w:val="22"/>
          <w:szCs w:val="22"/>
          <w:u w:val="single"/>
        </w:rPr>
      </w:pPr>
    </w:p>
    <w:p w14:paraId="2B07775C" w14:textId="77777777" w:rsidR="00800625" w:rsidRPr="00271AD6" w:rsidRDefault="00800625" w:rsidP="00800625">
      <w:pPr>
        <w:pStyle w:val="NormalWeb"/>
        <w:spacing w:before="0" w:after="0"/>
        <w:ind w:left="1701"/>
        <w:jc w:val="both"/>
        <w:rPr>
          <w:color w:val="000000"/>
          <w:sz w:val="22"/>
          <w:szCs w:val="22"/>
        </w:rPr>
      </w:pPr>
    </w:p>
    <w:p w14:paraId="2B077762" w14:textId="0E51F2FA" w:rsidR="00800625" w:rsidRPr="00271AD6" w:rsidRDefault="00FD2E94" w:rsidP="0B288391">
      <w:pPr>
        <w:pStyle w:val="NormalWeb"/>
        <w:spacing w:before="0" w:after="0"/>
        <w:ind w:firstLine="1701"/>
        <w:contextualSpacing/>
        <w:jc w:val="both"/>
        <w:rPr>
          <w:color w:val="000000" w:themeColor="text1"/>
          <w:sz w:val="26"/>
          <w:szCs w:val="26"/>
        </w:rPr>
      </w:pPr>
      <w:r>
        <w:rPr>
          <w:b/>
          <w:bCs/>
          <w:color w:val="000000" w:themeColor="text1"/>
          <w:sz w:val="26"/>
          <w:szCs w:val="26"/>
        </w:rPr>
        <w:t>[</w:t>
      </w:r>
      <w:r w:rsidRPr="00FD2E94">
        <w:rPr>
          <w:b/>
          <w:bCs/>
          <w:color w:val="000000" w:themeColor="text1"/>
          <w:sz w:val="26"/>
          <w:szCs w:val="26"/>
          <w:highlight w:val="yellow"/>
        </w:rPr>
        <w:t>NOME COMPLETO</w:t>
      </w:r>
      <w:r>
        <w:rPr>
          <w:b/>
          <w:bCs/>
          <w:color w:val="000000" w:themeColor="text1"/>
          <w:sz w:val="26"/>
          <w:szCs w:val="26"/>
        </w:rPr>
        <w:t>]</w:t>
      </w:r>
      <w:r w:rsidR="12E33656" w:rsidRPr="0B288391">
        <w:rPr>
          <w:color w:val="000000" w:themeColor="text1"/>
          <w:sz w:val="26"/>
          <w:szCs w:val="26"/>
        </w:rPr>
        <w:t xml:space="preserve">, </w:t>
      </w:r>
      <w:r>
        <w:rPr>
          <w:color w:val="000000" w:themeColor="text1"/>
          <w:sz w:val="26"/>
          <w:szCs w:val="26"/>
        </w:rPr>
        <w:t>já qualificado nos autos do processo em epígrafe, apresenta</w:t>
      </w:r>
      <w:r w:rsidR="12E33656" w:rsidRPr="0B288391">
        <w:rPr>
          <w:color w:val="000000" w:themeColor="text1"/>
          <w:sz w:val="26"/>
          <w:szCs w:val="26"/>
        </w:rPr>
        <w:t xml:space="preserve"> </w:t>
      </w:r>
      <w:r w:rsidR="12E33656" w:rsidRPr="0B288391">
        <w:rPr>
          <w:b/>
          <w:bCs/>
          <w:color w:val="000000" w:themeColor="text1"/>
          <w:sz w:val="26"/>
          <w:szCs w:val="26"/>
          <w:u w:val="single"/>
        </w:rPr>
        <w:t>RECURSO ADMINISTRATIVO</w:t>
      </w:r>
      <w:r>
        <w:rPr>
          <w:bCs/>
          <w:color w:val="000000" w:themeColor="text1"/>
          <w:sz w:val="26"/>
          <w:szCs w:val="26"/>
        </w:rPr>
        <w:t xml:space="preserve"> com pedido de </w:t>
      </w:r>
      <w:r>
        <w:rPr>
          <w:b/>
          <w:bCs/>
          <w:color w:val="000000" w:themeColor="text1"/>
          <w:sz w:val="26"/>
          <w:szCs w:val="26"/>
          <w:u w:val="single"/>
        </w:rPr>
        <w:t>EFEITO SUSPENSIVO</w:t>
      </w:r>
      <w:r>
        <w:rPr>
          <w:bCs/>
          <w:color w:val="000000" w:themeColor="text1"/>
          <w:sz w:val="26"/>
          <w:szCs w:val="26"/>
        </w:rPr>
        <w:t xml:space="preserve">, requerendo, caso antes não haja </w:t>
      </w:r>
      <w:r>
        <w:rPr>
          <w:b/>
          <w:bCs/>
          <w:color w:val="000000" w:themeColor="text1"/>
          <w:sz w:val="26"/>
          <w:szCs w:val="26"/>
          <w:u w:val="single"/>
        </w:rPr>
        <w:t>JUÍZO DE RECONSIDERAÇÃO</w:t>
      </w:r>
      <w:r>
        <w:rPr>
          <w:bCs/>
          <w:color w:val="000000" w:themeColor="text1"/>
          <w:sz w:val="26"/>
          <w:szCs w:val="26"/>
        </w:rPr>
        <w:t xml:space="preserve">, a remessa do feito à autoridade superior, </w:t>
      </w:r>
      <w:r w:rsidR="20723B1F" w:rsidRPr="0B288391">
        <w:rPr>
          <w:color w:val="000000" w:themeColor="text1"/>
          <w:sz w:val="26"/>
          <w:szCs w:val="26"/>
        </w:rPr>
        <w:t>com</w:t>
      </w:r>
      <w:r w:rsidR="00AB2576">
        <w:rPr>
          <w:color w:val="000000" w:themeColor="text1"/>
          <w:sz w:val="26"/>
          <w:szCs w:val="26"/>
        </w:rPr>
        <w:t xml:space="preserve"> fundamento no artigo 56 da Lei nº 9.784, de 1999</w:t>
      </w:r>
      <w:r w:rsidR="00800625" w:rsidRPr="0B288391">
        <w:rPr>
          <w:color w:val="000000" w:themeColor="text1"/>
          <w:sz w:val="26"/>
          <w:szCs w:val="26"/>
        </w:rPr>
        <w:t>, pelos fatos e fundamentos que se seguem</w:t>
      </w:r>
      <w:r w:rsidR="6A55E696" w:rsidRPr="0B288391">
        <w:rPr>
          <w:color w:val="000000" w:themeColor="text1"/>
          <w:sz w:val="26"/>
          <w:szCs w:val="26"/>
        </w:rPr>
        <w:t>:</w:t>
      </w:r>
    </w:p>
    <w:p w14:paraId="2B077763" w14:textId="77777777" w:rsidR="00800625" w:rsidRPr="00271AD6" w:rsidRDefault="00800625" w:rsidP="00800625">
      <w:pPr>
        <w:pStyle w:val="NormalWeb"/>
        <w:spacing w:before="0" w:after="0"/>
        <w:ind w:firstLine="1701"/>
        <w:jc w:val="both"/>
        <w:rPr>
          <w:color w:val="000000"/>
          <w:sz w:val="26"/>
          <w:szCs w:val="26"/>
        </w:rPr>
      </w:pPr>
    </w:p>
    <w:p w14:paraId="2B077765" w14:textId="77777777" w:rsidR="00800625" w:rsidRPr="00271AD6" w:rsidRDefault="00800625" w:rsidP="00800625">
      <w:pPr>
        <w:spacing w:after="0" w:line="240" w:lineRule="auto"/>
        <w:rPr>
          <w:rFonts w:ascii="Times New Roman" w:hAnsi="Times New Roman" w:cs="Times New Roman"/>
          <w:b/>
          <w:sz w:val="26"/>
          <w:szCs w:val="26"/>
          <w:u w:val="single"/>
        </w:rPr>
      </w:pPr>
      <w:r w:rsidRPr="00271AD6">
        <w:rPr>
          <w:rFonts w:ascii="Times New Roman" w:hAnsi="Times New Roman" w:cs="Times New Roman"/>
          <w:b/>
          <w:sz w:val="26"/>
          <w:szCs w:val="26"/>
        </w:rPr>
        <w:t xml:space="preserve">1. </w:t>
      </w:r>
      <w:r w:rsidRPr="00271AD6">
        <w:rPr>
          <w:rFonts w:ascii="Times New Roman" w:hAnsi="Times New Roman" w:cs="Times New Roman"/>
          <w:b/>
          <w:sz w:val="26"/>
          <w:szCs w:val="26"/>
          <w:u w:val="single"/>
        </w:rPr>
        <w:t xml:space="preserve">DOS FATOS </w:t>
      </w:r>
    </w:p>
    <w:p w14:paraId="2B077766" w14:textId="77777777" w:rsidR="00800625" w:rsidRPr="00271AD6" w:rsidRDefault="00800625" w:rsidP="00800625">
      <w:pPr>
        <w:spacing w:after="0" w:line="240" w:lineRule="auto"/>
        <w:rPr>
          <w:rFonts w:ascii="Times New Roman" w:hAnsi="Times New Roman" w:cs="Times New Roman"/>
          <w:b/>
          <w:sz w:val="26"/>
          <w:szCs w:val="26"/>
          <w:u w:val="single"/>
        </w:rPr>
      </w:pPr>
    </w:p>
    <w:p w14:paraId="7E40BFAA" w14:textId="1505C789"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O recorrente é Oficial de Justiça Avaliador Federal vinculado à Seção Judiciária de Minas Gerais e recebe a Vantagem Pessoal Nominalmente Identificada (VPNI), oriunda da incorporação de quintos,</w:t>
      </w:r>
      <w:r w:rsidRPr="00AB2576">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há, pelo menos, mais de 10 (dez) anos, assim como percebem a Gratificação de Atividade Externa (GAE) pelo exercício do cargo de Oficial de Justiça.</w:t>
      </w:r>
    </w:p>
    <w:p w14:paraId="7C6AF8F8" w14:textId="16471507" w:rsidR="00800625" w:rsidRPr="00271AD6" w:rsidRDefault="00800625" w:rsidP="0B288391">
      <w:pPr>
        <w:spacing w:after="0" w:line="240" w:lineRule="auto"/>
        <w:ind w:firstLine="1701"/>
        <w:jc w:val="both"/>
        <w:rPr>
          <w:rFonts w:ascii="Times New Roman" w:hAnsi="Times New Roman" w:cs="Times New Roman"/>
          <w:sz w:val="26"/>
          <w:szCs w:val="26"/>
        </w:rPr>
      </w:pPr>
    </w:p>
    <w:p w14:paraId="0628A6C4" w14:textId="22C67D90"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Entretanto, em razão de “indícios de irregularidades” apontados pelo Tribunal de Contas da União no que se refere ao pagamento cumulado de ambas as parcelas, este Tribunal instaurou o presente processo administrativo, notificando o recorrente a se manifestar sobre a proposta apresentada pelo TCU, consistente na supressão das parcelas de quintos/décimos adquiridas em razão do exercício de funções típicas de oficial de justiça ou transformação delas em parcelas compensatórias, caso não tenham sido absorvidas pelos aumentos ocorridos nos últimos cinco anos.</w:t>
      </w:r>
    </w:p>
    <w:p w14:paraId="60925B95"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57D05BBA"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 xml:space="preserve">Apresentada a defesa, </w:t>
      </w:r>
      <w:r>
        <w:rPr>
          <w:rFonts w:ascii="Times New Roman" w:eastAsia="Times New Roman" w:hAnsi="Times New Roman" w:cs="Times New Roman"/>
          <w:color w:val="000000" w:themeColor="text1"/>
          <w:sz w:val="26"/>
          <w:szCs w:val="26"/>
        </w:rPr>
        <w:t xml:space="preserve">a Juíza Federal Diretora do Foro da Seção Judiciária de Minas Gerais, no dia 16 de novembro de 2020, prolatou decisão padronizada, sem que fossem consideradas individualmente as defesas apresentadas, </w:t>
      </w:r>
      <w:r>
        <w:rPr>
          <w:rFonts w:ascii="Times New Roman" w:eastAsia="Times New Roman" w:hAnsi="Times New Roman" w:cs="Times New Roman"/>
          <w:color w:val="000000" w:themeColor="text1"/>
          <w:sz w:val="26"/>
          <w:szCs w:val="26"/>
        </w:rPr>
        <w:lastRenderedPageBreak/>
        <w:t xml:space="preserve">determinando a absorção da parcela referente à VPNI pelos reajustes dos últimos 5 anos, dispensando a reposição ao erário das verbas recebidas, segundo a Administração, indevidamente. </w:t>
      </w:r>
    </w:p>
    <w:p w14:paraId="3CAFB3E4" w14:textId="649982A0" w:rsidR="00800625" w:rsidRDefault="00800625" w:rsidP="0B288391">
      <w:pPr>
        <w:spacing w:after="0" w:line="240" w:lineRule="auto"/>
        <w:ind w:firstLine="1701"/>
        <w:jc w:val="both"/>
        <w:rPr>
          <w:rFonts w:ascii="Times New Roman" w:hAnsi="Times New Roman" w:cs="Times New Roman"/>
          <w:sz w:val="26"/>
          <w:szCs w:val="26"/>
        </w:rPr>
      </w:pPr>
    </w:p>
    <w:p w14:paraId="41A4782B"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Ocorre que a cumulação é legal, devido à </w:t>
      </w:r>
      <w:r w:rsidRPr="00AB2576">
        <w:rPr>
          <w:rFonts w:ascii="Times New Roman" w:eastAsia="Times New Roman" w:hAnsi="Times New Roman" w:cs="Times New Roman"/>
          <w:b/>
          <w:color w:val="000000" w:themeColor="text1"/>
          <w:sz w:val="26"/>
          <w:szCs w:val="26"/>
        </w:rPr>
        <w:t>natureza distinta de ambas as parcelas</w:t>
      </w:r>
      <w:r>
        <w:rPr>
          <w:rFonts w:ascii="Times New Roman" w:eastAsia="Times New Roman" w:hAnsi="Times New Roman" w:cs="Times New Roman"/>
          <w:color w:val="000000" w:themeColor="text1"/>
          <w:sz w:val="26"/>
          <w:szCs w:val="26"/>
        </w:rPr>
        <w:t>, além de não haver vedação na Lei 11.416/2006, que instituiu a GAE. Com efeito, a VPNI é oriunda da incorporação de quintos decorrentes do exercício de função comissionada, e a proibição decorrente do § 2º do artigo 16 da referida lei não se aplica à hipótese de incorporação</w:t>
      </w:r>
      <w:r>
        <w:rPr>
          <w:rStyle w:val="Refdenotaderodap"/>
          <w:rFonts w:ascii="Times New Roman" w:eastAsia="Times New Roman" w:hAnsi="Times New Roman" w:cs="Times New Roman"/>
          <w:color w:val="000000" w:themeColor="text1"/>
          <w:sz w:val="26"/>
          <w:szCs w:val="26"/>
        </w:rPr>
        <w:footnoteReference w:id="2"/>
      </w:r>
      <w:r>
        <w:rPr>
          <w:rFonts w:ascii="Times New Roman" w:eastAsia="Times New Roman" w:hAnsi="Times New Roman" w:cs="Times New Roman"/>
          <w:color w:val="000000" w:themeColor="text1"/>
          <w:sz w:val="26"/>
          <w:szCs w:val="26"/>
        </w:rPr>
        <w:t>.</w:t>
      </w:r>
    </w:p>
    <w:p w14:paraId="7035165A" w14:textId="48D323CA" w:rsidR="00AB2576" w:rsidRDefault="00AB2576" w:rsidP="0B288391">
      <w:pPr>
        <w:spacing w:after="0" w:line="240" w:lineRule="auto"/>
        <w:ind w:firstLine="1701"/>
        <w:jc w:val="both"/>
        <w:rPr>
          <w:rFonts w:ascii="Times New Roman" w:hAnsi="Times New Roman" w:cs="Times New Roman"/>
          <w:sz w:val="26"/>
          <w:szCs w:val="26"/>
        </w:rPr>
      </w:pPr>
    </w:p>
    <w:p w14:paraId="248861CE" w14:textId="5F6E2484" w:rsidR="00AB2576" w:rsidRPr="00AB2576" w:rsidRDefault="00AB2576" w:rsidP="00AB2576">
      <w:pPr>
        <w:spacing w:after="0" w:line="240" w:lineRule="auto"/>
        <w:ind w:firstLine="1701"/>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t xml:space="preserve">Não fosse suficiente, o recorrente possui o direito adquirido ao recebimento de ambas as parcelas, pois recebe a VPNI de quintos e a GAE cumulativamente há pelo menos 12 anos. </w:t>
      </w:r>
      <w:r w:rsidRPr="00AB2576">
        <w:rPr>
          <w:rFonts w:ascii="Times New Roman" w:eastAsia="Times New Roman" w:hAnsi="Times New Roman" w:cs="Times New Roman"/>
          <w:b/>
          <w:color w:val="000000" w:themeColor="text1"/>
          <w:sz w:val="26"/>
          <w:szCs w:val="26"/>
        </w:rPr>
        <w:t>Logo, o direito de a Administração rever seus atos foi atingido pela decadência.</w:t>
      </w:r>
    </w:p>
    <w:p w14:paraId="6710D4F2" w14:textId="77777777" w:rsidR="00AB2576" w:rsidRDefault="00AB2576" w:rsidP="0B288391">
      <w:pPr>
        <w:spacing w:after="0" w:line="240" w:lineRule="auto"/>
        <w:ind w:firstLine="1701"/>
        <w:jc w:val="both"/>
        <w:rPr>
          <w:rFonts w:ascii="Times New Roman" w:hAnsi="Times New Roman" w:cs="Times New Roman"/>
          <w:sz w:val="26"/>
          <w:szCs w:val="26"/>
        </w:rPr>
      </w:pPr>
    </w:p>
    <w:p w14:paraId="6D16518C" w14:textId="79AC7168"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O equivocado entendimento da Corte de Contas, que sequer se dirigente ao recorrente, decorre do Acórdão 2.784/2016, por meio do qual apontou a impossibilidade de manter o ato de </w:t>
      </w:r>
      <w:r>
        <w:rPr>
          <w:rFonts w:ascii="Times New Roman" w:eastAsia="Times New Roman" w:hAnsi="Times New Roman" w:cs="Times New Roman"/>
          <w:b/>
          <w:bCs/>
          <w:color w:val="000000" w:themeColor="text1"/>
          <w:sz w:val="26"/>
          <w:szCs w:val="26"/>
        </w:rPr>
        <w:t>aposentadoria</w:t>
      </w:r>
      <w:r>
        <w:rPr>
          <w:rFonts w:ascii="Times New Roman" w:eastAsia="Times New Roman" w:hAnsi="Times New Roman" w:cs="Times New Roman"/>
          <w:color w:val="000000" w:themeColor="text1"/>
          <w:sz w:val="26"/>
          <w:szCs w:val="26"/>
        </w:rPr>
        <w:t xml:space="preserve"> de 4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14:paraId="0C435D81"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7C39C1DA" w14:textId="06C15B3E"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Contudo, tal entendimento não merece prosperar, notadamente porque o artigo 16, § 2º, da Lei 11.416/2006, não pode ser interpretado extensivamente para suprimir direitos, bem como porque a função de confiança que deu origem à VPNI de quintos incorporada pelos representados não possuía “caráter geral”, não sendo paga, portanto, indistintamente a todos os oficiais de justiça, e não se confundia com a destinação da Gratificação de Atividade Externa.</w:t>
      </w:r>
    </w:p>
    <w:p w14:paraId="42EE1BE7" w14:textId="73FD54D7" w:rsidR="00AB2576" w:rsidRDefault="00AB2576" w:rsidP="0B288391">
      <w:pPr>
        <w:spacing w:after="0" w:line="240" w:lineRule="auto"/>
        <w:ind w:firstLine="1701"/>
        <w:jc w:val="both"/>
        <w:rPr>
          <w:rFonts w:ascii="Times New Roman" w:hAnsi="Times New Roman" w:cs="Times New Roman"/>
          <w:sz w:val="26"/>
          <w:szCs w:val="26"/>
        </w:rPr>
      </w:pPr>
    </w:p>
    <w:p w14:paraId="42D5E340"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Bem por isso que vários Tribunais Regionais, instados pelo TCU a adotarem providências no sentido de apurar as supostas cumulações irregulares, vêm se manifestando pelo equívoco no entendimento da Corte de Contas. É o que demonstram pareceres de unidades técnicas e decisões/acórdãos (de Presidência ou Pleno) em via administrativa dos </w:t>
      </w:r>
      <w:r>
        <w:rPr>
          <w:rFonts w:ascii="Times New Roman" w:eastAsia="Times New Roman" w:hAnsi="Times New Roman" w:cs="Times New Roman"/>
          <w:b/>
          <w:bCs/>
          <w:color w:val="000000" w:themeColor="text1"/>
          <w:sz w:val="26"/>
          <w:szCs w:val="26"/>
        </w:rPr>
        <w:t>Tribunais Regionais Federais da 2ª, 3ª e 4ª Região</w:t>
      </w:r>
      <w:r>
        <w:rPr>
          <w:rFonts w:ascii="Times New Roman" w:eastAsia="Times New Roman" w:hAnsi="Times New Roman" w:cs="Times New Roman"/>
          <w:color w:val="000000" w:themeColor="text1"/>
          <w:sz w:val="26"/>
          <w:szCs w:val="26"/>
        </w:rPr>
        <w:t xml:space="preserve">, bem como dos </w:t>
      </w:r>
      <w:r>
        <w:rPr>
          <w:rFonts w:ascii="Times New Roman" w:eastAsia="Times New Roman" w:hAnsi="Times New Roman" w:cs="Times New Roman"/>
          <w:b/>
          <w:bCs/>
          <w:color w:val="000000" w:themeColor="text1"/>
          <w:sz w:val="26"/>
          <w:szCs w:val="26"/>
        </w:rPr>
        <w:t>Tribunais Regionais do Trabalho da 4ª, 10ª, 11ª, 15ª, 17ª e 18ª Região</w:t>
      </w:r>
      <w:r>
        <w:rPr>
          <w:rFonts w:ascii="Times New Roman" w:eastAsia="Times New Roman" w:hAnsi="Times New Roman" w:cs="Times New Roman"/>
          <w:color w:val="000000" w:themeColor="text1"/>
          <w:sz w:val="26"/>
          <w:szCs w:val="26"/>
        </w:rPr>
        <w:t xml:space="preserve">, conforme demonstrado no tópico de precedentes administrativos deste mandado de segurança. Além disso, em acórdãos judiciais mais atuais e específicos sobre o tema, também decidiram a favor dos servidores o </w:t>
      </w:r>
      <w:r>
        <w:rPr>
          <w:rFonts w:ascii="Times New Roman" w:eastAsia="Times New Roman" w:hAnsi="Times New Roman" w:cs="Times New Roman"/>
          <w:b/>
          <w:bCs/>
          <w:color w:val="000000" w:themeColor="text1"/>
          <w:sz w:val="26"/>
          <w:szCs w:val="26"/>
        </w:rPr>
        <w:t>Supremo Tribunal Federal</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b/>
          <w:bCs/>
          <w:color w:val="000000" w:themeColor="text1"/>
          <w:sz w:val="26"/>
          <w:szCs w:val="26"/>
        </w:rPr>
        <w:t>Tribunal Regional Federal da 2ª Região</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b/>
          <w:bCs/>
          <w:color w:val="000000" w:themeColor="text1"/>
          <w:sz w:val="26"/>
          <w:szCs w:val="26"/>
        </w:rPr>
        <w:t xml:space="preserve">Tribunal Regional do </w:t>
      </w:r>
      <w:r>
        <w:rPr>
          <w:rFonts w:ascii="Times New Roman" w:eastAsia="Times New Roman" w:hAnsi="Times New Roman" w:cs="Times New Roman"/>
          <w:b/>
          <w:bCs/>
          <w:color w:val="000000" w:themeColor="text1"/>
          <w:sz w:val="26"/>
          <w:szCs w:val="26"/>
        </w:rPr>
        <w:lastRenderedPageBreak/>
        <w:t>Trabalho da 24ª Região</w:t>
      </w:r>
      <w:r>
        <w:rPr>
          <w:rFonts w:ascii="Times New Roman" w:eastAsia="Times New Roman" w:hAnsi="Times New Roman" w:cs="Times New Roman"/>
          <w:color w:val="000000" w:themeColor="text1"/>
          <w:sz w:val="26"/>
          <w:szCs w:val="26"/>
        </w:rPr>
        <w:t xml:space="preserve"> e várias </w:t>
      </w:r>
      <w:r>
        <w:rPr>
          <w:rFonts w:ascii="Times New Roman" w:eastAsia="Times New Roman" w:hAnsi="Times New Roman" w:cs="Times New Roman"/>
          <w:b/>
          <w:bCs/>
          <w:color w:val="000000" w:themeColor="text1"/>
          <w:sz w:val="26"/>
          <w:szCs w:val="26"/>
        </w:rPr>
        <w:t>Seções Judiciárias da Justiça Federal</w:t>
      </w:r>
      <w:r>
        <w:rPr>
          <w:rFonts w:ascii="Times New Roman" w:eastAsia="Times New Roman" w:hAnsi="Times New Roman" w:cs="Times New Roman"/>
          <w:color w:val="000000" w:themeColor="text1"/>
          <w:sz w:val="26"/>
          <w:szCs w:val="26"/>
        </w:rPr>
        <w:t>, conforme citações no tópico sobre precedentes judiciais.</w:t>
      </w:r>
    </w:p>
    <w:p w14:paraId="227BD758"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040118E6"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Além de a cumulação ser legal, está protegida pela decadência administrativa e pelos princípios que garantem a segurança jurídica das situações já consolidadas.</w:t>
      </w:r>
    </w:p>
    <w:p w14:paraId="26D1437D" w14:textId="5FFD594D" w:rsidR="00AB2576" w:rsidRDefault="00AB2576" w:rsidP="0B288391">
      <w:pPr>
        <w:spacing w:after="0" w:line="240" w:lineRule="auto"/>
        <w:ind w:firstLine="1701"/>
        <w:jc w:val="both"/>
        <w:rPr>
          <w:rFonts w:ascii="Times New Roman" w:hAnsi="Times New Roman" w:cs="Times New Roman"/>
          <w:sz w:val="26"/>
          <w:szCs w:val="26"/>
        </w:rPr>
      </w:pPr>
      <w:bookmarkStart w:id="0" w:name="_GoBack"/>
      <w:bookmarkEnd w:id="0"/>
    </w:p>
    <w:p w14:paraId="72F57148"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Ademais, mesmo que equivocadamente não se entenda pela legalidade, o procedimento de apuração do próprio Tribunal de Contas da União indica que nenhuma das parcelas deve ser suprimida de imediato, devendo se converter uma das rubricas em parcelas compensatórias, para que haja respeito ao princípio da irredutibilidade de vencimentos.</w:t>
      </w:r>
    </w:p>
    <w:p w14:paraId="2B077785" w14:textId="044FF2B2" w:rsidR="00800625" w:rsidRPr="00271AD6" w:rsidRDefault="00800625" w:rsidP="0B288391">
      <w:pPr>
        <w:spacing w:after="0" w:line="240" w:lineRule="auto"/>
        <w:jc w:val="both"/>
        <w:rPr>
          <w:rFonts w:ascii="Times New Roman" w:hAnsi="Times New Roman" w:cs="Times New Roman"/>
          <w:sz w:val="26"/>
          <w:szCs w:val="26"/>
        </w:rPr>
      </w:pPr>
    </w:p>
    <w:p w14:paraId="2B077786" w14:textId="70A627BB" w:rsidR="00800625" w:rsidRPr="00271AD6" w:rsidRDefault="140A4093" w:rsidP="0B288391">
      <w:pPr>
        <w:spacing w:after="0" w:line="240" w:lineRule="auto"/>
        <w:jc w:val="both"/>
        <w:rPr>
          <w:rFonts w:ascii="Times New Roman" w:hAnsi="Times New Roman" w:cs="Times New Roman"/>
          <w:b/>
          <w:bCs/>
          <w:sz w:val="26"/>
          <w:szCs w:val="26"/>
          <w:u w:val="single"/>
        </w:rPr>
      </w:pPr>
      <w:r w:rsidRPr="0B288391">
        <w:rPr>
          <w:rFonts w:ascii="Times New Roman" w:hAnsi="Times New Roman" w:cs="Times New Roman"/>
          <w:b/>
          <w:bCs/>
          <w:sz w:val="26"/>
          <w:szCs w:val="26"/>
        </w:rPr>
        <w:t>2</w:t>
      </w:r>
      <w:r w:rsidR="00800625" w:rsidRPr="0B288391">
        <w:rPr>
          <w:rFonts w:ascii="Times New Roman" w:hAnsi="Times New Roman" w:cs="Times New Roman"/>
          <w:b/>
          <w:bCs/>
          <w:sz w:val="26"/>
          <w:szCs w:val="26"/>
        </w:rPr>
        <w:t xml:space="preserve">. </w:t>
      </w:r>
      <w:r w:rsidR="00AB2576">
        <w:rPr>
          <w:rFonts w:ascii="Times New Roman" w:hAnsi="Times New Roman" w:cs="Times New Roman"/>
          <w:b/>
          <w:bCs/>
          <w:sz w:val="26"/>
          <w:szCs w:val="26"/>
          <w:u w:val="single"/>
        </w:rPr>
        <w:t>FUNDAMENTOS JURÍDICOS</w:t>
      </w:r>
    </w:p>
    <w:p w14:paraId="2B077787" w14:textId="359CDE2C" w:rsidR="00800625" w:rsidRDefault="00800625" w:rsidP="00800625">
      <w:pPr>
        <w:spacing w:after="0" w:line="240" w:lineRule="auto"/>
        <w:jc w:val="both"/>
        <w:rPr>
          <w:rFonts w:ascii="Times New Roman" w:hAnsi="Times New Roman" w:cs="Times New Roman"/>
          <w:b/>
          <w:sz w:val="26"/>
          <w:szCs w:val="26"/>
        </w:rPr>
      </w:pPr>
    </w:p>
    <w:p w14:paraId="6C55AA97" w14:textId="1952647B" w:rsidR="00AB2576" w:rsidRDefault="00AB2576"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2.1. </w:t>
      </w:r>
      <w:r>
        <w:rPr>
          <w:rFonts w:ascii="Times New Roman" w:eastAsia="Times New Roman" w:hAnsi="Times New Roman"/>
          <w:b/>
          <w:bCs/>
          <w:color w:val="000000" w:themeColor="text1"/>
          <w:sz w:val="26"/>
          <w:szCs w:val="26"/>
          <w:u w:val="single"/>
        </w:rPr>
        <w:t>Tribunal de Contas da União analisará a matéria em plenário no processo 036.450/2020-0 (representação) iniciada em outubro de 2020: ausência de justa causa para o corte remuneratório</w:t>
      </w:r>
    </w:p>
    <w:p w14:paraId="2D7E40D1"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5F89635F"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Em 15 de outubro de 2020, o Tribunal de Contas da União instaurou o processo nº 036.450/2020-0</w:t>
      </w:r>
      <w:r>
        <w:rPr>
          <w:rStyle w:val="Refdenotaderodap"/>
          <w:rFonts w:ascii="Times New Roman" w:eastAsia="Times New Roman" w:hAnsi="Times New Roman"/>
          <w:color w:val="000000" w:themeColor="text1"/>
          <w:sz w:val="26"/>
          <w:szCs w:val="26"/>
        </w:rPr>
        <w:footnoteReference w:id="3"/>
      </w:r>
      <w:r>
        <w:rPr>
          <w:rFonts w:ascii="Times New Roman" w:eastAsia="Times New Roman" w:hAnsi="Times New Roman"/>
          <w:color w:val="000000" w:themeColor="text1"/>
          <w:sz w:val="26"/>
          <w:szCs w:val="26"/>
        </w:rPr>
        <w:t xml:space="preserve"> (REPRESENTAÇÃO), distribuído à relatoria do Ministro RAIMUNDO CARREIRO, com o seguinte objeto:</w:t>
      </w:r>
    </w:p>
    <w:p w14:paraId="34B61E5C" w14:textId="77777777" w:rsidR="00AB2576" w:rsidRDefault="00AB2576" w:rsidP="00AB2576">
      <w:pPr>
        <w:spacing w:after="0" w:line="240" w:lineRule="auto"/>
        <w:ind w:left="708" w:firstLine="1701"/>
        <w:jc w:val="both"/>
        <w:rPr>
          <w:rFonts w:ascii="Times New Roman" w:eastAsia="Times New Roman" w:hAnsi="Times New Roman"/>
          <w:color w:val="000000" w:themeColor="text1"/>
          <w:sz w:val="26"/>
          <w:szCs w:val="26"/>
        </w:rPr>
      </w:pPr>
    </w:p>
    <w:p w14:paraId="49B78A03"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Objeto do processo: Pessoal. Representação visando apurar possíveis irregularidades no pagamento cumulativo realizado por órgãos do Poder Judiciário, em benefício de Oficiais de Justiça ativos, inativos e aos pensionistas, da Gratificação de Atividade Externa juntamente com a parcela de quintos/décimos de função, transformado em Vantagem Pessoal Nominalmente Identificável (VPNI) pelo art. 62-A da Lei 8.112/1992, considerando o entendimento firmado pela jurisprudência deste TCU, a exemplo dos Acórdãos 2.784/2016-TCU-Plenário (Relator Ministro Benjamin </w:t>
      </w:r>
      <w:proofErr w:type="spellStart"/>
      <w:r>
        <w:rPr>
          <w:rFonts w:ascii="Times New Roman" w:eastAsia="Times New Roman" w:hAnsi="Times New Roman"/>
          <w:color w:val="000000" w:themeColor="text1"/>
        </w:rPr>
        <w:t>Zymler</w:t>
      </w:r>
      <w:proofErr w:type="spellEnd"/>
      <w:r>
        <w:rPr>
          <w:rFonts w:ascii="Times New Roman" w:eastAsia="Times New Roman" w:hAnsi="Times New Roman"/>
          <w:color w:val="000000" w:themeColor="text1"/>
        </w:rPr>
        <w:t xml:space="preserve">), 9.800/2019-TCU-1ª Câmara (Relator Ministro-Substituto Marcos </w:t>
      </w:r>
      <w:proofErr w:type="spellStart"/>
      <w:r>
        <w:rPr>
          <w:rFonts w:ascii="Times New Roman" w:eastAsia="Times New Roman" w:hAnsi="Times New Roman"/>
          <w:color w:val="000000" w:themeColor="text1"/>
        </w:rPr>
        <w:t>Bemquerer</w:t>
      </w:r>
      <w:proofErr w:type="spellEnd"/>
      <w:r>
        <w:rPr>
          <w:rFonts w:ascii="Times New Roman" w:eastAsia="Times New Roman" w:hAnsi="Times New Roman"/>
          <w:color w:val="000000" w:themeColor="text1"/>
        </w:rPr>
        <w:t>), 8.533/2019-TCU-1ª Câmara (Relator Ministro Walton Alencar Rodrigues), 4.994/2019-TCU-2ª Câmara (Relator Ministro André de Carvalho) e 4.523/2019-TCU-1ª Câmara (Relator Ministro Vital do Rêgo).</w:t>
      </w:r>
    </w:p>
    <w:p w14:paraId="21365FB8" w14:textId="77777777" w:rsidR="00AB2576" w:rsidRDefault="00AB2576" w:rsidP="00AB2576">
      <w:pPr>
        <w:spacing w:after="0" w:line="240" w:lineRule="auto"/>
        <w:ind w:left="708" w:firstLine="1701"/>
        <w:jc w:val="both"/>
        <w:rPr>
          <w:rFonts w:ascii="Times New Roman" w:eastAsia="Times New Roman" w:hAnsi="Times New Roman"/>
          <w:color w:val="000000" w:themeColor="text1"/>
          <w:sz w:val="26"/>
          <w:szCs w:val="26"/>
        </w:rPr>
      </w:pPr>
    </w:p>
    <w:p w14:paraId="3E02EC63"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A representação reúne todos os tribunais e analisará o conjunto das realidades existentes. Em resumo, as dúvidas razoáveis, os impedimentos, as ausências de indícios de ilicitude ou sua confirmação, os relatórios de vários tribunais (a exemplo do TRT-4, TRT-17 e TRT-11) onde as autoridades administrativas concluíram pela inexistência dos referidos indícios, seja pela ocorrência de </w:t>
      </w:r>
      <w:r>
        <w:rPr>
          <w:rFonts w:ascii="Times New Roman" w:eastAsia="Times New Roman" w:hAnsi="Times New Roman"/>
          <w:color w:val="000000" w:themeColor="text1"/>
          <w:sz w:val="26"/>
          <w:szCs w:val="26"/>
        </w:rPr>
        <w:lastRenderedPageBreak/>
        <w:t>decadência ou demais elementos de mérito da incorporação, serão conjugados na representação aberta no TCU para análise de quais providências serão necessárias.</w:t>
      </w:r>
    </w:p>
    <w:p w14:paraId="113363F1"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7B8DBD15"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Conforme o Regimento Interno do TCU, a representação está prevista no artigo 246, assim:</w:t>
      </w:r>
    </w:p>
    <w:p w14:paraId="079BD91A" w14:textId="77777777" w:rsidR="00AB2576" w:rsidRDefault="00AB2576" w:rsidP="00AB2576">
      <w:pPr>
        <w:spacing w:after="0" w:line="240" w:lineRule="auto"/>
        <w:ind w:left="708" w:firstLine="1701"/>
        <w:jc w:val="both"/>
        <w:rPr>
          <w:rFonts w:ascii="Times New Roman" w:eastAsia="Times New Roman" w:hAnsi="Times New Roman"/>
          <w:color w:val="000000" w:themeColor="text1"/>
          <w:sz w:val="26"/>
          <w:szCs w:val="26"/>
        </w:rPr>
      </w:pPr>
    </w:p>
    <w:p w14:paraId="00E46156"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Art.  246.  no curso de fiscalização, se verificado procedimento de que possa resultar </w:t>
      </w:r>
      <w:proofErr w:type="spellStart"/>
      <w:r>
        <w:rPr>
          <w:rFonts w:ascii="Times New Roman" w:eastAsia="Times New Roman" w:hAnsi="Times New Roman"/>
          <w:color w:val="000000" w:themeColor="text1"/>
        </w:rPr>
        <w:t>dano</w:t>
      </w:r>
      <w:proofErr w:type="spellEnd"/>
      <w:r>
        <w:rPr>
          <w:rFonts w:ascii="Times New Roman" w:eastAsia="Times New Roman" w:hAnsi="Times New Roman"/>
          <w:color w:val="000000" w:themeColor="text1"/>
        </w:rPr>
        <w:t xml:space="preserve"> ao erário ou irregularidade grave, a equipe representará, desde logo, com suporte em elementos concretos e convincentes, ao dirigente da unidade técnica, o qual submeterá a matéria ao respectivo relator, com parecer conclusivo.</w:t>
      </w:r>
    </w:p>
    <w:p w14:paraId="5476DE22"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6F34998A"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primeiro processo específico, em que o tema será tratado pelo TCU, é a representação em andamento e apenas dela pode emanar ordem executória de procedimento a ser adotado pelas autoridades envolvidas, sem prejuízo da interposição – com efeito suspensivo - de </w:t>
      </w:r>
      <w:r>
        <w:rPr>
          <w:rFonts w:ascii="Times New Roman" w:eastAsia="Times New Roman" w:hAnsi="Times New Roman"/>
          <w:b/>
          <w:bCs/>
          <w:color w:val="000000" w:themeColor="text1"/>
          <w:sz w:val="26"/>
          <w:szCs w:val="26"/>
        </w:rPr>
        <w:t>pedido de reexame</w:t>
      </w:r>
      <w:r>
        <w:rPr>
          <w:rFonts w:ascii="Times New Roman" w:eastAsia="Times New Roman" w:hAnsi="Times New Roman"/>
          <w:color w:val="000000" w:themeColor="text1"/>
          <w:sz w:val="26"/>
          <w:szCs w:val="26"/>
        </w:rPr>
        <w:t xml:space="preserve"> (prazo de 15 dias) e </w:t>
      </w:r>
      <w:r>
        <w:rPr>
          <w:rFonts w:ascii="Times New Roman" w:eastAsia="Times New Roman" w:hAnsi="Times New Roman"/>
          <w:b/>
          <w:bCs/>
          <w:color w:val="000000" w:themeColor="text1"/>
          <w:sz w:val="26"/>
          <w:szCs w:val="26"/>
        </w:rPr>
        <w:t>embargos de declaração</w:t>
      </w:r>
      <w:r>
        <w:rPr>
          <w:rFonts w:ascii="Times New Roman" w:eastAsia="Times New Roman" w:hAnsi="Times New Roman"/>
          <w:color w:val="000000" w:themeColor="text1"/>
          <w:sz w:val="26"/>
          <w:szCs w:val="26"/>
        </w:rPr>
        <w:t xml:space="preserve"> (prazo de 10 dias) (prerrogativa que cada órgão fiscalizado tem, conforme artigos 286 e 287 do RITCU).</w:t>
      </w:r>
    </w:p>
    <w:p w14:paraId="4FF32A9C"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3EB676AB"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Logo, a definição de como os órgãos públicos envolvidos (tribunais) devem proceder ainda será tomada em acórdão plenário, daí não serem adequadas medidas graves </w:t>
      </w:r>
      <w:proofErr w:type="gramStart"/>
      <w:r>
        <w:rPr>
          <w:rFonts w:ascii="Times New Roman" w:eastAsia="Times New Roman" w:hAnsi="Times New Roman"/>
          <w:color w:val="000000" w:themeColor="text1"/>
          <w:sz w:val="26"/>
          <w:szCs w:val="26"/>
        </w:rPr>
        <w:t>como corte remuneratório</w:t>
      </w:r>
      <w:proofErr w:type="gramEnd"/>
      <w:r>
        <w:rPr>
          <w:rFonts w:ascii="Times New Roman" w:eastAsia="Times New Roman" w:hAnsi="Times New Roman"/>
          <w:color w:val="000000" w:themeColor="text1"/>
          <w:sz w:val="26"/>
          <w:szCs w:val="26"/>
        </w:rPr>
        <w:t xml:space="preserve"> antes da posição final do TCU.</w:t>
      </w:r>
    </w:p>
    <w:p w14:paraId="3012E892" w14:textId="77777777" w:rsidR="00AB2576" w:rsidRPr="00271AD6" w:rsidRDefault="00AB2576" w:rsidP="00800625">
      <w:pPr>
        <w:spacing w:after="0" w:line="240" w:lineRule="auto"/>
        <w:jc w:val="both"/>
        <w:rPr>
          <w:rFonts w:ascii="Times New Roman" w:hAnsi="Times New Roman" w:cs="Times New Roman"/>
          <w:b/>
          <w:sz w:val="26"/>
          <w:szCs w:val="26"/>
        </w:rPr>
      </w:pPr>
    </w:p>
    <w:p w14:paraId="0340A9FD" w14:textId="1003FABD" w:rsidR="00AB2576" w:rsidRDefault="291EABE7" w:rsidP="00AB2576">
      <w:pPr>
        <w:spacing w:after="0" w:line="240" w:lineRule="auto"/>
        <w:jc w:val="both"/>
        <w:rPr>
          <w:rFonts w:ascii="Times New Roman" w:eastAsia="Times New Roman" w:hAnsi="Times New Roman" w:cs="Times New Roman"/>
          <w:color w:val="000000" w:themeColor="text1"/>
          <w:sz w:val="26"/>
          <w:szCs w:val="26"/>
        </w:rPr>
      </w:pPr>
      <w:r w:rsidRPr="0B288391">
        <w:rPr>
          <w:rFonts w:ascii="Times New Roman" w:hAnsi="Times New Roman" w:cs="Times New Roman"/>
          <w:b/>
          <w:bCs/>
          <w:sz w:val="26"/>
          <w:szCs w:val="26"/>
        </w:rPr>
        <w:t>2</w:t>
      </w:r>
      <w:r w:rsidR="00800625" w:rsidRPr="0B288391">
        <w:rPr>
          <w:rFonts w:ascii="Times New Roman" w:hAnsi="Times New Roman" w:cs="Times New Roman"/>
          <w:b/>
          <w:bCs/>
          <w:sz w:val="26"/>
          <w:szCs w:val="26"/>
        </w:rPr>
        <w:t>.</w:t>
      </w:r>
      <w:r w:rsidR="00AB2576">
        <w:rPr>
          <w:rFonts w:ascii="Times New Roman" w:hAnsi="Times New Roman" w:cs="Times New Roman"/>
          <w:b/>
          <w:bCs/>
          <w:sz w:val="26"/>
          <w:szCs w:val="26"/>
        </w:rPr>
        <w:t>2</w:t>
      </w:r>
      <w:r w:rsidR="00800625" w:rsidRPr="0B288391">
        <w:rPr>
          <w:rFonts w:ascii="Times New Roman" w:hAnsi="Times New Roman" w:cs="Times New Roman"/>
          <w:b/>
          <w:bCs/>
          <w:sz w:val="26"/>
          <w:szCs w:val="26"/>
        </w:rPr>
        <w:t xml:space="preserve">. </w:t>
      </w:r>
      <w:r w:rsidR="00AB2576">
        <w:rPr>
          <w:rFonts w:ascii="Times New Roman" w:eastAsia="Times New Roman" w:hAnsi="Times New Roman" w:cs="Times New Roman"/>
          <w:b/>
          <w:bCs/>
          <w:color w:val="000000" w:themeColor="text1"/>
          <w:sz w:val="26"/>
          <w:szCs w:val="26"/>
          <w:u w:val="single"/>
        </w:rPr>
        <w:t>Da decadência administrativa: parcela incorporada há 20 anos e percebida com a GAE há 12 anos</w:t>
      </w:r>
    </w:p>
    <w:p w14:paraId="62C607C7" w14:textId="77777777" w:rsidR="00AB2576" w:rsidRDefault="00AB2576" w:rsidP="00AB2576">
      <w:pPr>
        <w:spacing w:after="0" w:line="240" w:lineRule="auto"/>
        <w:ind w:right="150"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62255853" w14:textId="3A0CE0A9"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No caso do recorrente, tanto os quintos incorporados, transformados em VPNI, quanto a GAE, </w:t>
      </w:r>
      <w:r>
        <w:rPr>
          <w:rFonts w:ascii="Times New Roman" w:eastAsia="Times New Roman" w:hAnsi="Times New Roman" w:cs="Times New Roman"/>
          <w:b/>
          <w:bCs/>
          <w:color w:val="000000" w:themeColor="text1"/>
          <w:sz w:val="26"/>
          <w:szCs w:val="26"/>
        </w:rPr>
        <w:t>são pagos, cumulativamente, há 12 (doze) anos, de forma contínua e ininterrupta</w:t>
      </w:r>
      <w:r>
        <w:rPr>
          <w:rFonts w:ascii="Times New Roman" w:eastAsia="Times New Roman" w:hAnsi="Times New Roman" w:cs="Times New Roman"/>
          <w:color w:val="000000" w:themeColor="text1"/>
          <w:sz w:val="26"/>
          <w:szCs w:val="26"/>
        </w:rPr>
        <w:t xml:space="preserve">. A VPNI, em si, foi incorporada há </w:t>
      </w:r>
      <w:r>
        <w:rPr>
          <w:rFonts w:ascii="Times New Roman" w:eastAsia="Times New Roman" w:hAnsi="Times New Roman" w:cs="Times New Roman"/>
          <w:b/>
          <w:bCs/>
          <w:color w:val="000000" w:themeColor="text1"/>
          <w:sz w:val="26"/>
          <w:szCs w:val="26"/>
        </w:rPr>
        <w:t>20 (vinte) anos</w:t>
      </w:r>
      <w:r>
        <w:rPr>
          <w:rFonts w:ascii="Times New Roman" w:eastAsia="Times New Roman" w:hAnsi="Times New Roman" w:cs="Times New Roman"/>
          <w:color w:val="000000" w:themeColor="text1"/>
          <w:sz w:val="26"/>
          <w:szCs w:val="26"/>
        </w:rPr>
        <w:t>. Logo, mesmo uma análise superficial torna evidente que transcorreu o prazo decadencial previsto no parágrafo primeiro do artigo 54 da Lei 9.784/1999: </w:t>
      </w:r>
    </w:p>
    <w:p w14:paraId="4DBA62BC"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026AA66F"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54. O direito da Administração de anular os atos administrativos de que decorram efeitos favoráveis para os destinatários decai em cinco anos, </w:t>
      </w:r>
      <w:r>
        <w:rPr>
          <w:rFonts w:ascii="Times New Roman" w:eastAsia="Times New Roman" w:hAnsi="Times New Roman" w:cs="Times New Roman"/>
          <w:b/>
          <w:bCs/>
          <w:color w:val="000000" w:themeColor="text1"/>
        </w:rPr>
        <w:t>contados da data em que foram praticados</w:t>
      </w:r>
      <w:r>
        <w:rPr>
          <w:rFonts w:ascii="Times New Roman" w:eastAsia="Times New Roman" w:hAnsi="Times New Roman" w:cs="Times New Roman"/>
          <w:color w:val="000000" w:themeColor="text1"/>
        </w:rPr>
        <w:t>, salvo comprovada má-fé. </w:t>
      </w:r>
    </w:p>
    <w:p w14:paraId="507FA586"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4BFDDE2C"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1º No caso de efeitos patrimoniais contínuos, </w:t>
      </w:r>
      <w:r>
        <w:rPr>
          <w:rFonts w:ascii="Times New Roman" w:eastAsia="Times New Roman" w:hAnsi="Times New Roman" w:cs="Times New Roman"/>
          <w:b/>
          <w:bCs/>
          <w:color w:val="000000" w:themeColor="text1"/>
        </w:rPr>
        <w:t>o prazo de decadência contar-se-á da percepção do primeiro pagamento</w:t>
      </w:r>
      <w:r>
        <w:rPr>
          <w:rFonts w:ascii="Times New Roman" w:eastAsia="Times New Roman" w:hAnsi="Times New Roman" w:cs="Times New Roman"/>
          <w:color w:val="000000" w:themeColor="text1"/>
        </w:rPr>
        <w:t>. </w:t>
      </w:r>
    </w:p>
    <w:p w14:paraId="65411C51"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0DE84391"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2º Considera-se exercício do direito de anular qualquer medida de autoridade administrativa que importe impugnação à validade do ato. </w:t>
      </w:r>
    </w:p>
    <w:p w14:paraId="2274D9FC"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77DB56E2" w14:textId="5D4DC77E"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Assim, tendo em vista que a exclusão de parcela remuneratória (VPNI ou GAE) que se pretende implementar é posterior ao prazo decadencial estabelecido pelo artigo 54 da Lei 9.784, de 1999, não deveria ocorrer a supressão </w:t>
      </w:r>
      <w:r>
        <w:rPr>
          <w:rFonts w:ascii="Times New Roman" w:eastAsia="Times New Roman" w:hAnsi="Times New Roman" w:cs="Times New Roman"/>
          <w:color w:val="000000" w:themeColor="text1"/>
          <w:sz w:val="26"/>
          <w:szCs w:val="26"/>
        </w:rPr>
        <w:lastRenderedPageBreak/>
        <w:t>ilegal. Não houve inovação legislativa sobre a matéria e qualquer autoridade administrativa (inclusive o TCU) está sujeito aos efeitos da decadência.</w:t>
      </w:r>
    </w:p>
    <w:p w14:paraId="34A1211A"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247FA5CF"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É assim porque a referida lei estabelece, de modo expresso, que o prazo decadencial tem seu início </w:t>
      </w:r>
      <w:r>
        <w:rPr>
          <w:rFonts w:ascii="Times New Roman" w:eastAsia="Times New Roman" w:hAnsi="Times New Roman" w:cs="Times New Roman"/>
          <w:b/>
          <w:bCs/>
          <w:color w:val="000000" w:themeColor="text1"/>
          <w:sz w:val="26"/>
          <w:szCs w:val="26"/>
        </w:rPr>
        <w:t>a partir do momento em que o direito for implementado</w:t>
      </w:r>
      <w:r>
        <w:rPr>
          <w:rFonts w:ascii="Times New Roman" w:eastAsia="Times New Roman" w:hAnsi="Times New Roman" w:cs="Times New Roman"/>
          <w:color w:val="000000" w:themeColor="text1"/>
          <w:sz w:val="26"/>
          <w:szCs w:val="26"/>
        </w:rPr>
        <w:t xml:space="preserve">, redação a qual a jurisprudência tem dado amplo acolhimento, do que servem de exemplos os seguintes julgados, do </w:t>
      </w:r>
      <w:r>
        <w:rPr>
          <w:rFonts w:ascii="Times New Roman" w:eastAsia="Times New Roman" w:hAnsi="Times New Roman" w:cs="Times New Roman"/>
          <w:b/>
          <w:bCs/>
          <w:color w:val="000000" w:themeColor="text1"/>
          <w:sz w:val="26"/>
          <w:szCs w:val="26"/>
        </w:rPr>
        <w:t>Superior Tribunal de Justiça</w:t>
      </w:r>
      <w:r>
        <w:rPr>
          <w:rFonts w:ascii="Times New Roman" w:eastAsia="Times New Roman" w:hAnsi="Times New Roman" w:cs="Times New Roman"/>
          <w:color w:val="000000" w:themeColor="text1"/>
          <w:sz w:val="26"/>
          <w:szCs w:val="26"/>
        </w:rPr>
        <w:t>:</w:t>
      </w:r>
    </w:p>
    <w:p w14:paraId="5008B4FD"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sz w:val="26"/>
          <w:szCs w:val="26"/>
        </w:rPr>
      </w:pPr>
    </w:p>
    <w:p w14:paraId="79142FFD"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0"/>
          <w:szCs w:val="20"/>
        </w:rPr>
        <w:t>ADMINISTRATIVO. SERVIDOR PÚBLICO. APOSENTADORIA. CONTAGEM DE TEMPO. IRREGULARIDADE APURADA PELO TRIBUNAL DE CONTAS DA UNIÃO. REVISÃO DO ATO. PRAZO DECADENCIAL. ART. 54 DA LEI N. 9.784/99. TERMO INICIAL</w:t>
      </w:r>
      <w:r>
        <w:rPr>
          <w:rFonts w:ascii="Times New Roman" w:eastAsia="Times New Roman" w:hAnsi="Times New Roman" w:cs="Times New Roman"/>
          <w:color w:val="000000" w:themeColor="text1"/>
        </w:rPr>
        <w:t>. 1. A aposentadoria de servidor público não é ato complexo, pois não se conjugam as vontades da Administração e do Tribunal de Contas para concede-la. São atos distintos e praticados no manejo de competências igualmente diversas, na medida em que a primeira concede e o segundo controla sua legalidade. 2. </w:t>
      </w:r>
      <w:r>
        <w:rPr>
          <w:rFonts w:ascii="Times New Roman" w:eastAsia="Times New Roman" w:hAnsi="Times New Roman" w:cs="Times New Roman"/>
          <w:b/>
          <w:bCs/>
          <w:color w:val="000000" w:themeColor="text1"/>
        </w:rPr>
        <w:t>O art. 54 da Lei n. 9.784/99 vem a consolidar o princípio da segurança jurídica dentro do processo administrativo, tendo por precípua finalidade a obtenção de um estado de coisas que enseje estabilidade e previsibilidade dos atos</w:t>
      </w:r>
      <w:r>
        <w:rPr>
          <w:rFonts w:ascii="Times New Roman" w:eastAsia="Times New Roman" w:hAnsi="Times New Roman" w:cs="Times New Roman"/>
          <w:color w:val="000000" w:themeColor="text1"/>
        </w:rPr>
        <w:t>.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(REsp 1047524/SC, Rel. Ministro JORGE MUSSI, QUINTA TURMA, julgado em 16/06/2009, DJe 03/08/2009)</w:t>
      </w:r>
    </w:p>
    <w:p w14:paraId="1681F433"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p>
    <w:p w14:paraId="1282029A"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ADMINISTRATIVO - MANDADO DE SEGURANÇA PREVENTIVO - FUNCIONÁRIOS DA CONAB - ANISTIA - REVISÃO DOS ATOS - IMPOSSIBILIDADE – PRESCRIÇÃO ADMINISTRATIVA – § 1º, DO ART. 54, DA LEI 9.784/99 - SEGURANÇA CONCEDIDA.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w:t>
      </w:r>
      <w:proofErr w:type="spellStart"/>
      <w:r>
        <w:rPr>
          <w:rFonts w:ascii="Times New Roman" w:eastAsia="Times New Roman" w:hAnsi="Times New Roman" w:cs="Times New Roman"/>
          <w:color w:val="000000" w:themeColor="text1"/>
        </w:rPr>
        <w:t>parág</w:t>
      </w:r>
      <w:proofErr w:type="spellEnd"/>
      <w:r>
        <w:rPr>
          <w:rFonts w:ascii="Times New Roman" w:eastAsia="Times New Roman" w:hAnsi="Times New Roman" w:cs="Times New Roman"/>
          <w:color w:val="000000" w:themeColor="text1"/>
        </w:rPr>
        <w:t xml:space="preserve">. 1º, da Lei nº 9.784/99, o prazo decadencial para anulação dos atos administrativos é de 05 (cinco) anos da percepção do primeiro pagamento. No mesmo sentido, precedentes desta Corte (MS </w:t>
      </w:r>
      <w:proofErr w:type="spellStart"/>
      <w:r>
        <w:rPr>
          <w:rFonts w:ascii="Times New Roman" w:eastAsia="Times New Roman" w:hAnsi="Times New Roman" w:cs="Times New Roman"/>
          <w:color w:val="000000" w:themeColor="text1"/>
        </w:rPr>
        <w:t>nºs</w:t>
      </w:r>
      <w:proofErr w:type="spellEnd"/>
      <w:r>
        <w:rPr>
          <w:rFonts w:ascii="Times New Roman" w:eastAsia="Times New Roman" w:hAnsi="Times New Roman" w:cs="Times New Roman"/>
          <w:color w:val="000000" w:themeColor="text1"/>
        </w:rPr>
        <w:t xml:space="preserve"> 7.455/DF, Rel. Ministro VICENTE LEAL, DJU de 18.03.2002 e 6.566/DF, Rel. 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w:t>
      </w:r>
      <w:proofErr w:type="spellStart"/>
      <w:r>
        <w:rPr>
          <w:rFonts w:ascii="Times New Roman" w:eastAsia="Times New Roman" w:hAnsi="Times New Roman" w:cs="Times New Roman"/>
          <w:color w:val="000000" w:themeColor="text1"/>
        </w:rPr>
        <w:t>prescritibilidade</w:t>
      </w:r>
      <w:proofErr w:type="spellEnd"/>
      <w:r>
        <w:rPr>
          <w:rFonts w:ascii="Times New Roman" w:eastAsia="Times New Roman" w:hAnsi="Times New Roman" w:cs="Times New Roman"/>
          <w:color w:val="000000" w:themeColor="text1"/>
        </w:rPr>
        <w:t xml:space="preserve"> dos atos administrativos. 3 – Segurança concedida para afastar eventual desconstituição dos atos de anistia em benefício dos impetrantes, determinando suas manutenções no serviço público federal. Custas </w:t>
      </w:r>
      <w:proofErr w:type="spellStart"/>
      <w:r>
        <w:rPr>
          <w:rFonts w:ascii="Times New Roman" w:eastAsia="Times New Roman" w:hAnsi="Times New Roman" w:cs="Times New Roman"/>
          <w:color w:val="000000" w:themeColor="text1"/>
        </w:rPr>
        <w:t>ex</w:t>
      </w:r>
      <w:proofErr w:type="spellEnd"/>
      <w:r>
        <w:rPr>
          <w:rFonts w:ascii="Times New Roman" w:eastAsia="Times New Roman" w:hAnsi="Times New Roman" w:cs="Times New Roman"/>
          <w:color w:val="000000" w:themeColor="text1"/>
        </w:rPr>
        <w:t xml:space="preserve"> lege. Honorários advocatícios incabíveis, nos termos das Súmulas 512/STF e 105/STJ. (STJ, Terceira Seção, MS 7436, Rel. Min. Jorge </w:t>
      </w:r>
      <w:proofErr w:type="spellStart"/>
      <w:r>
        <w:rPr>
          <w:rFonts w:ascii="Times New Roman" w:eastAsia="Times New Roman" w:hAnsi="Times New Roman" w:cs="Times New Roman"/>
          <w:color w:val="000000" w:themeColor="text1"/>
        </w:rPr>
        <w:t>Scartezzini</w:t>
      </w:r>
      <w:proofErr w:type="spellEnd"/>
      <w:r>
        <w:rPr>
          <w:rFonts w:ascii="Times New Roman" w:eastAsia="Times New Roman" w:hAnsi="Times New Roman" w:cs="Times New Roman"/>
          <w:color w:val="000000" w:themeColor="text1"/>
        </w:rPr>
        <w:t>, DJ 17/02/2003).</w:t>
      </w:r>
    </w:p>
    <w:p w14:paraId="20AA78A8"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46E38D0A"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O </w:t>
      </w:r>
      <w:r>
        <w:rPr>
          <w:rFonts w:ascii="Times New Roman" w:eastAsia="Times New Roman" w:hAnsi="Times New Roman" w:cs="Times New Roman"/>
          <w:b/>
          <w:bCs/>
          <w:color w:val="000000" w:themeColor="text1"/>
          <w:sz w:val="26"/>
          <w:szCs w:val="26"/>
        </w:rPr>
        <w:t>Supremo Tribunal Federal</w:t>
      </w:r>
      <w:r>
        <w:rPr>
          <w:rFonts w:ascii="Times New Roman" w:eastAsia="Times New Roman" w:hAnsi="Times New Roman" w:cs="Times New Roman"/>
          <w:color w:val="000000" w:themeColor="text1"/>
          <w:sz w:val="26"/>
          <w:szCs w:val="26"/>
        </w:rPr>
        <w:t xml:space="preserve"> também se posiciona pela manutenção dos atos administrativos quando decorridos cinco anos da produção de seus efeitos, em razão do artigo 54 da Lei 9.784, de 1999:</w:t>
      </w:r>
    </w:p>
    <w:p w14:paraId="22A68177"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68C17AFC"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0"/>
          <w:szCs w:val="20"/>
        </w:rPr>
        <w:t>MANDADO DE SEGURANÇA. TRIBUNAL DE CONTAS DA UNIÃO. ANULAÇÃO DE ASCENSÕES FUNCIONAIS CONCEDIDAS AOS EMPREGADOS DA ECT. DECADÊNCIA DO DIREITO DE REVER A LEGALIDADE DAS ASCENSÕES. NECESSIDADE DE AS PARTES ATINGIDAS PELO ATO COATOR INTEGRAREM A LIDE</w:t>
      </w:r>
      <w:r>
        <w:rPr>
          <w:rFonts w:ascii="Times New Roman" w:eastAsia="Times New Roman" w:hAnsi="Times New Roman" w:cs="Times New Roman"/>
          <w:color w:val="000000" w:themeColor="text1"/>
        </w:rPr>
        <w:t xml:space="preserve">.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3. Precedentes. 3. Mandado de segurança concedido. (MS 26393, </w:t>
      </w:r>
      <w:proofErr w:type="gramStart"/>
      <w:r>
        <w:rPr>
          <w:rFonts w:ascii="Times New Roman" w:eastAsia="Times New Roman" w:hAnsi="Times New Roman" w:cs="Times New Roman"/>
          <w:color w:val="000000" w:themeColor="text1"/>
        </w:rPr>
        <w:t>Relator(</w:t>
      </w:r>
      <w:proofErr w:type="gramEnd"/>
      <w:r>
        <w:rPr>
          <w:rFonts w:ascii="Times New Roman" w:eastAsia="Times New Roman" w:hAnsi="Times New Roman" w:cs="Times New Roman"/>
          <w:color w:val="000000" w:themeColor="text1"/>
        </w:rPr>
        <w:t>a): Min. CÁRMEN LÚCIA, Tribunal Pleno, julgado em 29/10/2009, DJe-030) </w:t>
      </w:r>
    </w:p>
    <w:p w14:paraId="6197FDB2"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1EEC81F0"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Sobre este ponto, destaca-se a necessidade de observância ao prazo decadencial para a revisão dos atos, “sob pena de </w:t>
      </w:r>
      <w:r>
        <w:rPr>
          <w:rFonts w:ascii="Times New Roman" w:eastAsia="Times New Roman" w:hAnsi="Times New Roman" w:cs="Times New Roman"/>
          <w:b/>
          <w:bCs/>
          <w:color w:val="000000" w:themeColor="text1"/>
          <w:sz w:val="26"/>
          <w:szCs w:val="26"/>
        </w:rPr>
        <w:t>ofensa ao princípio da confiança,</w:t>
      </w:r>
      <w:r>
        <w:rPr>
          <w:rFonts w:ascii="Times New Roman" w:eastAsia="Times New Roman" w:hAnsi="Times New Roman" w:cs="Times New Roman"/>
          <w:color w:val="000000" w:themeColor="text1"/>
          <w:sz w:val="26"/>
          <w:szCs w:val="26"/>
        </w:rPr>
        <w:t xml:space="preserve"> face subjetiva do princípio da segurança jurídica”. Conforme se extrai do voto relator:</w:t>
      </w:r>
    </w:p>
    <w:p w14:paraId="724199B8"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59B31743"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Assim, uma vez que o ato formal do órgão administrativo – que verifica o preenchimento dos requisitos legais e concede a aposentadoria ou pensão – tem o condão de</w:t>
      </w:r>
      <w:r>
        <w:rPr>
          <w:rFonts w:ascii="Times New Roman" w:eastAsia="Times New Roman" w:hAnsi="Times New Roman" w:cs="Times New Roman"/>
          <w:b/>
          <w:bCs/>
          <w:color w:val="000000" w:themeColor="text1"/>
        </w:rPr>
        <w:t xml:space="preserve"> criar situações jurídicas com plena aparência de legalidade e legitimidade</w:t>
      </w:r>
      <w:r>
        <w:rPr>
          <w:rFonts w:ascii="Times New Roman" w:eastAsia="Times New Roman" w:hAnsi="Times New Roman" w:cs="Times New Roman"/>
          <w:color w:val="000000" w:themeColor="text1"/>
        </w:rPr>
        <w:t>, é de admitir-se, portanto, que também a atuação do TCU, no tocante ao julgamento da legalidade e registro dessas aposentadorias ou pensões, deva estar sujeita a um prazo razoável, sob pena de ofensa ao princípio da confiança, face subjetiva do princípio da segurança jurídica.</w:t>
      </w:r>
    </w:p>
    <w:p w14:paraId="46904313"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276A12A9"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Veja-se ainda o importante destaque feito pelo Ministro Alexandre de Moraes acerca do prazo para que a Corte de Contas revise suas decisões e os prejuízos de sua inércia:</w:t>
      </w:r>
    </w:p>
    <w:p w14:paraId="2B5AA04F"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4EC4B20B"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 há casos - na Turma, nós já chegamos a analisar alguns casos - em que, depois de </w:t>
      </w:r>
      <w:r>
        <w:rPr>
          <w:rFonts w:ascii="Times New Roman" w:eastAsia="Times New Roman" w:hAnsi="Times New Roman" w:cs="Times New Roman"/>
          <w:b/>
          <w:bCs/>
          <w:color w:val="000000" w:themeColor="text1"/>
        </w:rPr>
        <w:t>seis, sete, oito, dez, doze, anos</w:t>
      </w:r>
      <w:r>
        <w:rPr>
          <w:rFonts w:ascii="Times New Roman" w:eastAsia="Times New Roman" w:hAnsi="Times New Roman" w:cs="Times New Roman"/>
          <w:color w:val="000000" w:themeColor="text1"/>
        </w:rPr>
        <w:t xml:space="preserve">, a pessoa é </w:t>
      </w:r>
      <w:r>
        <w:rPr>
          <w:rFonts w:ascii="Times New Roman" w:eastAsia="Times New Roman" w:hAnsi="Times New Roman" w:cs="Times New Roman"/>
          <w:b/>
          <w:bCs/>
          <w:color w:val="000000" w:themeColor="text1"/>
        </w:rPr>
        <w:t>surpreendida com uma notificação</w:t>
      </w:r>
      <w:r>
        <w:rPr>
          <w:rFonts w:ascii="Times New Roman" w:eastAsia="Times New Roman" w:hAnsi="Times New Roman" w:cs="Times New Roman"/>
          <w:color w:val="000000" w:themeColor="text1"/>
        </w:rPr>
        <w:t xml:space="preserve"> dizendo que a sua aposentadoria, se não está cortada, está reduzida a setenta por cento, como no caso aqui, ou cinquenta por cento. (</w:t>
      </w:r>
      <w:proofErr w:type="gramStart"/>
      <w:r>
        <w:rPr>
          <w:rFonts w:ascii="Times New Roman" w:eastAsia="Times New Roman" w:hAnsi="Times New Roman" w:cs="Times New Roman"/>
          <w:color w:val="000000" w:themeColor="text1"/>
        </w:rPr>
        <w:t>grifou</w:t>
      </w:r>
      <w:proofErr w:type="gramEnd"/>
      <w:r>
        <w:rPr>
          <w:rFonts w:ascii="Times New Roman" w:eastAsia="Times New Roman" w:hAnsi="Times New Roman" w:cs="Times New Roman"/>
          <w:color w:val="000000" w:themeColor="text1"/>
        </w:rPr>
        <w:t>-se)</w:t>
      </w:r>
    </w:p>
    <w:p w14:paraId="6AEF2470"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7355D1B9"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Dessa forma, houve a decadência do direito da Administração de anular a incorporação dos quintos que tenham origem em função comissionada, assim também do direito de anular a implementação da GAE, e o pagamento cumulativo das duas vantagens, sempre que o primeiro pagamento cumulativo tenha se verificado há mais de cinco anos.</w:t>
      </w:r>
    </w:p>
    <w:p w14:paraId="3E5B9BEB"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5B796DFF"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Em virtude da decadência administrativa e da continuidade do pagamento, também advém o dever de manutenção do </w:t>
      </w:r>
      <w:r>
        <w:rPr>
          <w:rFonts w:ascii="Times New Roman" w:eastAsia="Times New Roman" w:hAnsi="Times New Roman" w:cs="Times New Roman"/>
          <w:i/>
          <w:iCs/>
          <w:color w:val="000000" w:themeColor="text1"/>
          <w:sz w:val="26"/>
          <w:szCs w:val="26"/>
        </w:rPr>
        <w:t>status quo ante</w:t>
      </w:r>
      <w:r>
        <w:rPr>
          <w:rFonts w:ascii="Times New Roman" w:eastAsia="Times New Roman" w:hAnsi="Times New Roman" w:cs="Times New Roman"/>
          <w:color w:val="000000" w:themeColor="text1"/>
          <w:sz w:val="26"/>
          <w:szCs w:val="26"/>
        </w:rPr>
        <w:t xml:space="preserve">, consoante o </w:t>
      </w:r>
      <w:r>
        <w:rPr>
          <w:rFonts w:ascii="Times New Roman" w:eastAsia="Times New Roman" w:hAnsi="Times New Roman" w:cs="Times New Roman"/>
          <w:color w:val="000000" w:themeColor="text1"/>
          <w:sz w:val="26"/>
          <w:szCs w:val="26"/>
        </w:rPr>
        <w:lastRenderedPageBreak/>
        <w:t>qual deve ser mantida a percepção do pagamento da VPNI oriunda de quintos incorporados, cumulativamente com a GAE, ambas incorporadas à remuneração do servidor.</w:t>
      </w:r>
    </w:p>
    <w:p w14:paraId="2B0777DD" w14:textId="0906AECC" w:rsidR="00800625" w:rsidRDefault="00800625" w:rsidP="00AB2576">
      <w:pPr>
        <w:spacing w:after="0" w:line="240" w:lineRule="auto"/>
        <w:jc w:val="both"/>
        <w:rPr>
          <w:rFonts w:ascii="Times New Roman" w:hAnsi="Times New Roman" w:cs="Times New Roman"/>
          <w:sz w:val="26"/>
          <w:szCs w:val="26"/>
          <w:lang w:eastAsia="pt-BR"/>
        </w:rPr>
      </w:pPr>
    </w:p>
    <w:p w14:paraId="191F6739" w14:textId="142E836F" w:rsidR="00AB2576" w:rsidRDefault="00AB2576" w:rsidP="00AB2576">
      <w:pPr>
        <w:spacing w:after="0" w:line="240" w:lineRule="auto"/>
        <w:ind w:right="1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2.3. </w:t>
      </w:r>
      <w:r>
        <w:rPr>
          <w:rFonts w:ascii="Times New Roman" w:eastAsia="Times New Roman" w:hAnsi="Times New Roman" w:cs="Times New Roman"/>
          <w:b/>
          <w:bCs/>
          <w:color w:val="000000" w:themeColor="text1"/>
          <w:sz w:val="26"/>
          <w:szCs w:val="26"/>
          <w:u w:val="single"/>
        </w:rPr>
        <w:t>Da VPNI oriunda de quintos incorporados: natureza jurídica da GRG e da FC, necessidade de designação e encargos adicionais, pagamento apenas para alguns oficiais de justiça</w:t>
      </w:r>
    </w:p>
    <w:p w14:paraId="64C7BF82"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5E0ADB35"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8.112/1990, que assim previa:</w:t>
      </w:r>
    </w:p>
    <w:p w14:paraId="61885931"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46D29DF1"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62. Ao servidor investido em função de direção, chefia ou assessoramento é devida uma gratificação pelo seu exercício. </w:t>
      </w:r>
    </w:p>
    <w:p w14:paraId="19020B08"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7E6DFBA2"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2º A gratificação prevista neste </w:t>
      </w:r>
      <w:r>
        <w:rPr>
          <w:rFonts w:ascii="Times New Roman" w:eastAsia="Times New Roman" w:hAnsi="Times New Roman" w:cs="Times New Roman"/>
          <w:b/>
          <w:bCs/>
          <w:color w:val="000000" w:themeColor="text1"/>
        </w:rPr>
        <w:t>artigo incorpora-se à remuneração do servidor e integra o provento da aposentadoria, na proporção de 1/5 (um quinto) por ano de exercício na função de direção, chefia ou assessoramento, até o limite de 5 (cinco) quintos</w:t>
      </w:r>
      <w:r>
        <w:rPr>
          <w:rFonts w:ascii="Times New Roman" w:eastAsia="Times New Roman" w:hAnsi="Times New Roman" w:cs="Times New Roman"/>
          <w:color w:val="000000" w:themeColor="text1"/>
        </w:rPr>
        <w:t>. (</w:t>
      </w:r>
      <w:proofErr w:type="gramStart"/>
      <w:r>
        <w:rPr>
          <w:rFonts w:ascii="Times New Roman" w:eastAsia="Times New Roman" w:hAnsi="Times New Roman" w:cs="Times New Roman"/>
          <w:color w:val="000000" w:themeColor="text1"/>
        </w:rPr>
        <w:t>grifou</w:t>
      </w:r>
      <w:proofErr w:type="gramEnd"/>
      <w:r>
        <w:rPr>
          <w:rFonts w:ascii="Times New Roman" w:eastAsia="Times New Roman" w:hAnsi="Times New Roman" w:cs="Times New Roman"/>
          <w:color w:val="000000" w:themeColor="text1"/>
        </w:rPr>
        <w:t>-se) </w:t>
      </w:r>
    </w:p>
    <w:p w14:paraId="5C5B6BDD"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3A45DA6C"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Ao dispor sobre o assunto, a Lei 8.911/1994, no seu artigo 3º, preceituava:</w:t>
      </w:r>
    </w:p>
    <w:p w14:paraId="24D9329C"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3B774830"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14:paraId="6A193825"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 </w:t>
      </w:r>
    </w:p>
    <w:p w14:paraId="648BD40F"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sz w:val="26"/>
          <w:szCs w:val="26"/>
        </w:rPr>
      </w:pPr>
    </w:p>
    <w:p w14:paraId="63531D83"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Posteriormente, com a entrada em vigor da Lei 9.527/1997, que alterou as Leis 8.112/1990 e 8.911/1994, para deixar de prever a incorporação dos quintos, as parcelas incorporadas foram transformadas em Vantagem Pessoal Nominalmente Identificada, por força do disposto no artigo 15:</w:t>
      </w:r>
    </w:p>
    <w:p w14:paraId="06A0112C"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45BF6BA6"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15. Fica extinta a incorporação da retribuição pelo exercício de função de direção, chefia ou assessoramento, cargo de provimento em comissão ou de Natureza Especial a que se referem os arts. 3º e 10 da Lei nº 8.911, de 11 de julho de 1994.  </w:t>
      </w:r>
    </w:p>
    <w:p w14:paraId="5B918EA7"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1º </w:t>
      </w:r>
      <w:r>
        <w:rPr>
          <w:rFonts w:ascii="Times New Roman" w:eastAsia="Times New Roman" w:hAnsi="Times New Roman" w:cs="Times New Roman"/>
          <w:b/>
          <w:bCs/>
          <w:color w:val="000000" w:themeColor="text1"/>
        </w:rPr>
        <w:t>A importância paga em razão da incorporação a que se refere este artigo passa a constituir, a partir de 11 de novembro de 1997, vantagem pessoal nominalmente identificada</w:t>
      </w:r>
      <w:r>
        <w:rPr>
          <w:rFonts w:ascii="Times New Roman" w:eastAsia="Times New Roman" w:hAnsi="Times New Roman" w:cs="Times New Roman"/>
          <w:color w:val="000000" w:themeColor="text1"/>
        </w:rPr>
        <w:t>, sujeita exclusivamente à atualização decorrente da revisão geral da remuneração dos servidores públicos federais.  </w:t>
      </w:r>
    </w:p>
    <w:p w14:paraId="7A1A8437"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2º É assegurado o direito à incorporação ou atualização de parcela ao servidor que, em 11 de novembro de 1997, tiver cumprido todos os requisitos legais para a concessão ou atualização a ela referente.</w:t>
      </w:r>
    </w:p>
    <w:p w14:paraId="664F333B"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076D4504"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Portanto, com a vigência do artigo 62 da Lei 8.112/1990, regulado pela Lei 9.911/1994, estabeleceu-se que a incorporação de quintos seria calculada na proporção de um quinto por ano de exercício das referidas funções, até o limite de cinco quintos. Após, com a edição da Lei 9.527/1997, a possibilidade de incorporação desta parcela foi extinta e as vantagens já incorporadas foram transformadas em Vantagem Pessoal Nominalmente Identificada.</w:t>
      </w:r>
    </w:p>
    <w:p w14:paraId="05FD511F"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621DBB3F" w14:textId="1BF2D2F4"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Ou seja, percebe-se que a incorporação dos quintos e sua transformação em VPNI ocorreram </w:t>
      </w:r>
      <w:r>
        <w:rPr>
          <w:rFonts w:ascii="Times New Roman" w:eastAsia="Times New Roman" w:hAnsi="Times New Roman" w:cs="Times New Roman"/>
          <w:b/>
          <w:bCs/>
          <w:color w:val="000000" w:themeColor="text1"/>
          <w:sz w:val="26"/>
          <w:szCs w:val="26"/>
        </w:rPr>
        <w:t>há mais de 20 anos</w:t>
      </w:r>
      <w:r>
        <w:rPr>
          <w:rFonts w:ascii="Times New Roman" w:eastAsia="Times New Roman" w:hAnsi="Times New Roman" w:cs="Times New Roman"/>
          <w:color w:val="000000" w:themeColor="text1"/>
          <w:sz w:val="26"/>
          <w:szCs w:val="26"/>
        </w:rPr>
        <w:t>. O entendimento firmado pelo Tribunal de Contas da União sobre ilicitude no pagamento cumulativo das parcelas justamente reside na suposta identificação entre a Gratificação de Atividade Externa, a GRG e a FC de executante de mandados, sob o argumento de que todas seriam de natureza geral e abstrata, concedidas a todos Oficiais de Justiça. Não se sabe de onde o TCU chegou a esse entendimento, pois a legislação, a regulamentação sobre o tema e julgados anteriores do mesmo TCU dizem o contrário.</w:t>
      </w:r>
    </w:p>
    <w:p w14:paraId="29A54770"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44B26E93"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GRG e a subsequente função comissionada de executante de mandados (ambas funções de confiança) não eram devidas automaticamente aos oficiais de justiça, sendo necessária a designação formal (para apenas alguns), com encargos adicionais e diferenciações entre os tribunais.</w:t>
      </w:r>
    </w:p>
    <w:p w14:paraId="0C48E3E8"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635C0156"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Contrariando a afirmação do relator do Acórdão 2784/2016/TCU-Pleno, o mesmo </w:t>
      </w:r>
      <w:r>
        <w:rPr>
          <w:rFonts w:ascii="Times New Roman" w:eastAsia="Times New Roman" w:hAnsi="Times New Roman" w:cs="Times New Roman"/>
          <w:b/>
          <w:bCs/>
          <w:color w:val="000000" w:themeColor="text1"/>
          <w:sz w:val="26"/>
          <w:szCs w:val="26"/>
        </w:rPr>
        <w:t>TRIBUNAL DE CONTAS DA UNIÃO</w:t>
      </w:r>
      <w:r>
        <w:rPr>
          <w:rFonts w:ascii="Times New Roman" w:eastAsia="Times New Roman" w:hAnsi="Times New Roman" w:cs="Times New Roman"/>
          <w:color w:val="000000" w:themeColor="text1"/>
          <w:sz w:val="26"/>
          <w:szCs w:val="26"/>
        </w:rPr>
        <w:t xml:space="preserve">, no </w:t>
      </w:r>
      <w:r>
        <w:rPr>
          <w:rFonts w:ascii="Times New Roman" w:eastAsia="Times New Roman" w:hAnsi="Times New Roman" w:cs="Times New Roman"/>
          <w:b/>
          <w:bCs/>
          <w:color w:val="000000" w:themeColor="text1"/>
          <w:sz w:val="26"/>
          <w:szCs w:val="26"/>
        </w:rPr>
        <w:t>Processo TC 005.333/2012-1</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b/>
          <w:bCs/>
          <w:color w:val="000000" w:themeColor="text1"/>
          <w:sz w:val="26"/>
          <w:szCs w:val="26"/>
        </w:rPr>
        <w:t>reconheceu que a Gratificação de Executante de Mandados não era devida a todos os Oficiais de Justiça</w:t>
      </w:r>
      <w:r>
        <w:rPr>
          <w:rFonts w:ascii="Times New Roman" w:eastAsia="Times New Roman" w:hAnsi="Times New Roman" w:cs="Times New Roman"/>
          <w:color w:val="000000" w:themeColor="text1"/>
          <w:sz w:val="26"/>
          <w:szCs w:val="26"/>
        </w:rPr>
        <w:t>, conforme o Acórdão n° 7758/2015, publicado em 22/09/2015, que reiterou o entendimento exarado no Acórdão n° 7097/2014, confirmando que, diante da existência de portaria de designação à função comissionada, é legal a incorporação de quintos/décimos:</w:t>
      </w:r>
    </w:p>
    <w:p w14:paraId="5BAC3A13"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793CD213"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APOSENTADORIAS. PAGAMENTO DE PARCELAS DE QUINTOS DA FUNÇÃO DE EXECUTANTE DE MANDADOS, SEM PORTARIA DE DESIGNAÇÃO PARA A OCUPAÇÃO DA REFERIDA FUNÇÃO DE CONFIANÇA. ILEGALIDADE. PEDIDO DE REEXAME. ARGUMENTOS INSUFICIENTES PARA A ALTERAÇÃO DO ACÓRDÃO RECORRIDO. CONHECIMENTO. NEGATIVA DE PROVIMENTO.</w:t>
      </w:r>
    </w:p>
    <w:p w14:paraId="2D5427AD"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VISTOS, relatados e discutidos estes autos que tratam de pedidos de reexame interpostos por Maria José Bezerra e Valdenice Alexandre da Silva contra o Acórdão 7.097/2014-TCU-2ª Câmara que considerou ilegais os respectivos atos </w:t>
      </w:r>
      <w:r>
        <w:rPr>
          <w:rFonts w:ascii="Times New Roman" w:eastAsia="Times New Roman" w:hAnsi="Times New Roman" w:cs="Times New Roman"/>
          <w:color w:val="000000" w:themeColor="text1"/>
        </w:rPr>
        <w:lastRenderedPageBreak/>
        <w:t>de aposentadoria em razão da incorporação de quintos decorrentes da função de confiança de executante de mandatos sem as correspondentes portarias de designação para as ocupações das referidas funções;</w:t>
      </w:r>
    </w:p>
    <w:p w14:paraId="1082EC98"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ACORDAM os Ministros do Tribunal de Contas da União, reunidos em Sessão da 2ª Câmara, ante as razões expostas pelo Relator, e com fundamento no 48 da Lei 8.443/1992, em:</w:t>
      </w:r>
    </w:p>
    <w:p w14:paraId="09BB4768"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9.1. </w:t>
      </w:r>
      <w:proofErr w:type="gramStart"/>
      <w:r>
        <w:rPr>
          <w:rFonts w:ascii="Times New Roman" w:eastAsia="Times New Roman" w:hAnsi="Times New Roman" w:cs="Times New Roman"/>
          <w:color w:val="000000" w:themeColor="text1"/>
        </w:rPr>
        <w:t>conhecer</w:t>
      </w:r>
      <w:proofErr w:type="gramEnd"/>
      <w:r>
        <w:rPr>
          <w:rFonts w:ascii="Times New Roman" w:eastAsia="Times New Roman" w:hAnsi="Times New Roman" w:cs="Times New Roman"/>
          <w:color w:val="000000" w:themeColor="text1"/>
        </w:rPr>
        <w:t xml:space="preserve"> dos presentes recursos, para, no mérito, negar-lhes provimento, mantendo-se inalterado o acórdão recorrido;</w:t>
      </w:r>
    </w:p>
    <w:p w14:paraId="70AF1F7E"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9.2. </w:t>
      </w:r>
      <w:proofErr w:type="gramStart"/>
      <w:r>
        <w:rPr>
          <w:rFonts w:ascii="Times New Roman" w:eastAsia="Times New Roman" w:hAnsi="Times New Roman" w:cs="Times New Roman"/>
          <w:color w:val="000000" w:themeColor="text1"/>
        </w:rPr>
        <w:t>dar</w:t>
      </w:r>
      <w:proofErr w:type="gramEnd"/>
      <w:r>
        <w:rPr>
          <w:rFonts w:ascii="Times New Roman" w:eastAsia="Times New Roman" w:hAnsi="Times New Roman" w:cs="Times New Roman"/>
          <w:color w:val="000000" w:themeColor="text1"/>
        </w:rPr>
        <w:t xml:space="preserve"> ciência desta deliberação às recorrentes e ao órgão interessado.</w:t>
      </w:r>
    </w:p>
    <w:p w14:paraId="09582641"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15C03A4C"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 As funções de confiança são vocacionadas para serem ocupadas em caráter transitório por pessoa de confiança da autoridade competente para preenchê-las, a qual também pode exonerar ad nutum os seus ocupantes.</w:t>
      </w:r>
    </w:p>
    <w:p w14:paraId="0A892F4F"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4.6. É dizer: nas funções de confiança, em comparação com os cargos de provimento efetivo, existe um requisito adicional, um </w:t>
      </w:r>
      <w:proofErr w:type="spellStart"/>
      <w:r>
        <w:rPr>
          <w:rFonts w:ascii="Times New Roman" w:eastAsia="Times New Roman" w:hAnsi="Times New Roman" w:cs="Times New Roman"/>
          <w:color w:val="000000" w:themeColor="text1"/>
        </w:rPr>
        <w:t>plus</w:t>
      </w:r>
      <w:proofErr w:type="spellEnd"/>
      <w:r>
        <w:rPr>
          <w:rFonts w:ascii="Times New Roman" w:eastAsia="Times New Roman" w:hAnsi="Times New Roman" w:cs="Times New Roman"/>
          <w:color w:val="000000" w:themeColor="text1"/>
        </w:rPr>
        <w:t>, para a sua ocupação: a fidúcia entre a autoridade competente para a nomeação e o seu ocupante.</w:t>
      </w:r>
    </w:p>
    <w:p w14:paraId="4BE897EE"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4.7. </w:t>
      </w:r>
      <w:r>
        <w:rPr>
          <w:rFonts w:ascii="Times New Roman" w:eastAsia="Times New Roman" w:hAnsi="Times New Roman" w:cs="Times New Roman"/>
          <w:b/>
          <w:bCs/>
          <w:color w:val="000000" w:themeColor="text1"/>
        </w:rPr>
        <w:t>Assim, o argumento de que a função de confiança de “Execução de Mandados” é inerente ao cargo de provimento efetivo de “Analista Judiciário – Especialidade Execução de Mandados” não pode ser aceita.</w:t>
      </w:r>
    </w:p>
    <w:p w14:paraId="35196213"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4.8. O entendimento supra é confirmado pela Portaria 553, de 27/11/2008, da Justiça Federal de Primeiro Grau, Seção Judiciária de Pernambuco (peça 43, p. 123), que assim dispôs:</w:t>
      </w:r>
    </w:p>
    <w:p w14:paraId="29D439DC"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14:paraId="4DBC8749"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4.9. </w:t>
      </w:r>
      <w:r>
        <w:rPr>
          <w:rFonts w:ascii="Times New Roman" w:eastAsia="Times New Roman" w:hAnsi="Times New Roman" w:cs="Times New Roman"/>
          <w:b/>
          <w:bCs/>
          <w:color w:val="000000" w:themeColor="text1"/>
        </w:rPr>
        <w:t>De fato, se há Analistas Judiciários – Especialidade Execução de Mandados dispensados da função comissionada de Executantes de Mandados, é porque a referida função comissionada não é inerente ao aludido cargo efetivo.</w:t>
      </w:r>
    </w:p>
    <w:p w14:paraId="549ED79B"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4.10. Assim, para a ocupação da função de confiança de “Execução de Mandados”, é indispensável a publicação da correspondente portaria de nomeação, o que não ocorreu no caso das recorrentes</w:t>
      </w:r>
      <w:r>
        <w:rPr>
          <w:rFonts w:ascii="Times New Roman" w:eastAsia="Times New Roman" w:hAnsi="Times New Roman" w:cs="Times New Roman"/>
          <w:color w:val="000000" w:themeColor="text1"/>
        </w:rPr>
        <w:t>.</w:t>
      </w:r>
    </w:p>
    <w:p w14:paraId="6CC23836"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Nessa ordem de ideias, é de se negar provimento ao presente pedido de reexame. (...) (grifou-se)</w:t>
      </w:r>
    </w:p>
    <w:p w14:paraId="71F366D3"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(TC 005.333/2012-1. Relator Vital do Rêgo)</w:t>
      </w:r>
    </w:p>
    <w:p w14:paraId="21BCAC8F"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5E349FD2"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Evidente o equívoco do TCU no Acórdão 2784/2016, que analisou superficialmente a questão, contrariando os pareceres de sua unidade técnica e do Ministério Público junto ao TCU, além de ir contra pronunciamento anterior da Corte de Contas.</w:t>
      </w:r>
    </w:p>
    <w:p w14:paraId="23E42C22"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037DDCF6"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Diversamente do aduzido pela Corte de Contas, portanto, a retribuição discutida guardava, sim, o necessário elemento da fidúcia, que </w:t>
      </w:r>
      <w:r>
        <w:rPr>
          <w:rFonts w:ascii="Times New Roman" w:eastAsia="Times New Roman" w:hAnsi="Times New Roman" w:cs="Times New Roman"/>
          <w:b/>
          <w:bCs/>
          <w:color w:val="000000" w:themeColor="text1"/>
          <w:sz w:val="26"/>
          <w:szCs w:val="26"/>
        </w:rPr>
        <w:t>não lhe conferia o caráter geral e abstrato</w:t>
      </w:r>
      <w:r>
        <w:rPr>
          <w:rFonts w:ascii="Times New Roman" w:eastAsia="Times New Roman" w:hAnsi="Times New Roman" w:cs="Times New Roman"/>
          <w:color w:val="000000" w:themeColor="text1"/>
          <w:sz w:val="26"/>
          <w:szCs w:val="26"/>
        </w:rPr>
        <w:t>.</w:t>
      </w:r>
    </w:p>
    <w:p w14:paraId="0E927D39"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24DA9B7F" w14:textId="4AD3FA86"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título exemplificativo, no âmbito da </w:t>
      </w:r>
      <w:r>
        <w:rPr>
          <w:rFonts w:ascii="Times New Roman" w:eastAsia="Times New Roman" w:hAnsi="Times New Roman" w:cs="Times New Roman"/>
          <w:b/>
          <w:bCs/>
          <w:color w:val="000000" w:themeColor="text1"/>
          <w:sz w:val="26"/>
          <w:szCs w:val="26"/>
        </w:rPr>
        <w:t>Justiça Federal</w:t>
      </w:r>
      <w:r>
        <w:rPr>
          <w:rFonts w:ascii="Times New Roman" w:eastAsia="Times New Roman" w:hAnsi="Times New Roman" w:cs="Times New Roman"/>
          <w:color w:val="000000" w:themeColor="text1"/>
          <w:sz w:val="26"/>
          <w:szCs w:val="26"/>
        </w:rPr>
        <w:t xml:space="preserve">, as funções de Executante de Mandados foram criadas pelo </w:t>
      </w:r>
      <w:r>
        <w:rPr>
          <w:rFonts w:ascii="Times New Roman" w:eastAsia="Times New Roman" w:hAnsi="Times New Roman" w:cs="Times New Roman"/>
          <w:b/>
          <w:bCs/>
          <w:color w:val="000000" w:themeColor="text1"/>
          <w:sz w:val="26"/>
          <w:szCs w:val="26"/>
        </w:rPr>
        <w:t>Ato Regulamentar CJF nº 641</w:t>
      </w:r>
      <w:r>
        <w:rPr>
          <w:rFonts w:ascii="Times New Roman" w:eastAsia="Times New Roman" w:hAnsi="Times New Roman" w:cs="Times New Roman"/>
          <w:color w:val="000000" w:themeColor="text1"/>
          <w:sz w:val="26"/>
          <w:szCs w:val="26"/>
        </w:rPr>
        <w:t xml:space="preserve">, de 1987 (anexado), que eram retribuídos na forma de Gratificação de Representação de </w:t>
      </w:r>
      <w:r>
        <w:rPr>
          <w:rFonts w:ascii="Times New Roman" w:eastAsia="Times New Roman" w:hAnsi="Times New Roman" w:cs="Times New Roman"/>
          <w:color w:val="000000" w:themeColor="text1"/>
          <w:sz w:val="26"/>
          <w:szCs w:val="26"/>
        </w:rPr>
        <w:lastRenderedPageBreak/>
        <w:t>Gabinete (com natureza jurídica de função de confiança). Note-se que, conforme dispõe o ato, as designações para a função de Executante de Mandados não aconteciam de forma automática, mas dependiam de ato do Diretor do Foro da respectiva Seção Judiciária, após a indicação do Juiz Federal</w:t>
      </w:r>
      <w:r>
        <w:rPr>
          <w:rStyle w:val="Refdenotaderodap"/>
          <w:color w:val="000000" w:themeColor="text1"/>
          <w:sz w:val="26"/>
          <w:szCs w:val="26"/>
        </w:rPr>
        <w:footnoteReference w:id="4"/>
      </w:r>
      <w:r>
        <w:rPr>
          <w:rFonts w:ascii="Times New Roman" w:eastAsia="Times New Roman" w:hAnsi="Times New Roman" w:cs="Times New Roman"/>
          <w:color w:val="000000" w:themeColor="text1"/>
          <w:sz w:val="26"/>
          <w:szCs w:val="26"/>
        </w:rPr>
        <w:t>.</w:t>
      </w:r>
    </w:p>
    <w:p w14:paraId="718C1BEB"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2717FCD6"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Ao contrário do que afirma o Acórdão 2784/2016/TCU-Plenário, apenas alguns oficiais de justiça eram designados para a função de Executante de Mandados. Além disso, esta parcela não se dirigia ao exercício das atribuições efetivas do cargo, mas estabelecia encargos adicionais. A função de confiança Executante de Mandados apresentava os seguintes requisitos de validade:</w:t>
      </w:r>
    </w:p>
    <w:p w14:paraId="5E4B57F6"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0B7A5761" w14:textId="77777777" w:rsidR="00AB2576" w:rsidRDefault="00AB2576" w:rsidP="00AB2576">
      <w:pPr>
        <w:pStyle w:val="PargrafodaLista"/>
        <w:numPr>
          <w:ilvl w:val="0"/>
          <w:numId w:val="1"/>
        </w:numPr>
        <w:spacing w:after="0" w:line="240" w:lineRule="auto"/>
        <w:ind w:left="2058" w:right="15" w:hanging="363"/>
        <w:jc w:val="both"/>
        <w:rPr>
          <w:rFonts w:eastAsiaTheme="minorEastAsia"/>
          <w:color w:val="000000" w:themeColor="text1"/>
          <w:sz w:val="26"/>
          <w:szCs w:val="26"/>
        </w:rPr>
      </w:pPr>
      <w:r>
        <w:rPr>
          <w:rFonts w:ascii="Times New Roman" w:eastAsia="Times New Roman" w:hAnsi="Times New Roman" w:cs="Times New Roman"/>
          <w:color w:val="000000" w:themeColor="text1"/>
          <w:sz w:val="26"/>
          <w:szCs w:val="26"/>
        </w:rPr>
        <w:t>Função estabelecida mediante normas reguladoras específicas, denominada, quantificada e destinada legalmente às Secretarias Federais no próprio Ato que as criava (ver Anexo I do Ato 641/87 e Anexos das Resoluções 18/91, 08/97, 10/97, 05/99, do TRF1), guardando proporcionalidade com a necessidade que visavam cumprir, não sendo, portanto, criada de forma   indiscriminada (art.   5º   da   Lei Complementar nº 10/71). Era o interesse da administração dos Tribunais Federais em assegurar eficiência e eficácia administrativas que exigia a criação de determinado quantitativo de funções de confiança, obedecendo-se aos planos de orçamentos anuais que foram previamente aprovados;</w:t>
      </w:r>
    </w:p>
    <w:p w14:paraId="6F76E400" w14:textId="77777777" w:rsidR="00AB2576" w:rsidRDefault="00AB2576" w:rsidP="00AB2576">
      <w:pPr>
        <w:spacing w:after="0" w:line="240" w:lineRule="auto"/>
        <w:ind w:left="2058" w:right="15" w:hanging="363"/>
        <w:jc w:val="both"/>
        <w:rPr>
          <w:rFonts w:ascii="Times New Roman" w:eastAsia="Times New Roman" w:hAnsi="Times New Roman" w:cs="Times New Roman"/>
          <w:color w:val="000000" w:themeColor="text1"/>
          <w:sz w:val="26"/>
          <w:szCs w:val="26"/>
        </w:rPr>
      </w:pPr>
    </w:p>
    <w:p w14:paraId="3F15C3F1" w14:textId="77777777" w:rsidR="00AB2576" w:rsidRDefault="00AB2576" w:rsidP="00AB2576">
      <w:pPr>
        <w:pStyle w:val="PargrafodaLista"/>
        <w:numPr>
          <w:ilvl w:val="0"/>
          <w:numId w:val="1"/>
        </w:numPr>
        <w:spacing w:after="0" w:line="240" w:lineRule="auto"/>
        <w:ind w:left="2058" w:right="15" w:hanging="363"/>
        <w:jc w:val="both"/>
        <w:rPr>
          <w:rFonts w:eastAsiaTheme="minorEastAsia"/>
          <w:color w:val="000000" w:themeColor="text1"/>
          <w:sz w:val="26"/>
          <w:szCs w:val="26"/>
        </w:rPr>
      </w:pPr>
      <w:r>
        <w:rPr>
          <w:rFonts w:ascii="Times New Roman" w:eastAsia="Times New Roman" w:hAnsi="Times New Roman" w:cs="Times New Roman"/>
          <w:color w:val="000000" w:themeColor="text1"/>
          <w:sz w:val="26"/>
          <w:szCs w:val="26"/>
        </w:rPr>
        <w:t xml:space="preserve">Função com finalidade: era um acréscimo de atividades de caráter administrativo correlatas ao cargo de Oficial de Justiça Avaliador. Correspondeu, inicialmente, a uma espécie do gênero Funções de Representação de Gabinete (ver Anexo I do Ato 641/87 e art. 5º da Resolução n° 18/91, do TRF1), também denominadas Funções de Encargos de Gabinete (ver Resolução 10/89, do CJF). Posteriormente, com o advento da Lei 8.911/94 (que trouxe eficácia ao art. 62, da Lei 8.112/90 e definiu as funções de direção, chefia e assessoramento), foi equiparada, pela Resolução 128/94, do CJF, às funções de direção, chefia e assessoramento constantes no Anexo da Lei 8.911/94, no tocante à remuneração das funções de Representação de Gabinete e sua incorporação. Por fim, com a Lei 9.421/96, a função de Executante de Mandados (assim como as demais funções de </w:t>
      </w:r>
      <w:r>
        <w:rPr>
          <w:rFonts w:ascii="Times New Roman" w:eastAsia="Times New Roman" w:hAnsi="Times New Roman" w:cs="Times New Roman"/>
          <w:color w:val="000000" w:themeColor="text1"/>
          <w:sz w:val="26"/>
          <w:szCs w:val="26"/>
        </w:rPr>
        <w:lastRenderedPageBreak/>
        <w:t>confiança) passou a integrar o Quadro das Funções Comissionadas do Poder Judiciário da União (como Função Comissionada-FC-05), que compreendiam atividades de direção, chefia e assessoramento (ver artigo 9º da Lei 9.421/96);</w:t>
      </w:r>
    </w:p>
    <w:p w14:paraId="410ADCC7" w14:textId="77777777" w:rsidR="00AB2576" w:rsidRDefault="00AB2576" w:rsidP="00AB2576">
      <w:pPr>
        <w:spacing w:after="0" w:line="240" w:lineRule="auto"/>
        <w:ind w:left="2058" w:right="15" w:hanging="363"/>
        <w:jc w:val="both"/>
        <w:rPr>
          <w:rFonts w:ascii="Times New Roman" w:eastAsia="Times New Roman" w:hAnsi="Times New Roman" w:cs="Times New Roman"/>
          <w:color w:val="000000" w:themeColor="text1"/>
          <w:sz w:val="26"/>
          <w:szCs w:val="26"/>
        </w:rPr>
      </w:pPr>
    </w:p>
    <w:p w14:paraId="58C48B2B" w14:textId="77777777" w:rsidR="00AB2576" w:rsidRDefault="00AB2576" w:rsidP="00AB2576">
      <w:pPr>
        <w:pStyle w:val="PargrafodaLista"/>
        <w:numPr>
          <w:ilvl w:val="0"/>
          <w:numId w:val="1"/>
        </w:numPr>
        <w:spacing w:after="0" w:line="240" w:lineRule="auto"/>
        <w:ind w:left="2058" w:right="15" w:hanging="363"/>
        <w:jc w:val="both"/>
        <w:rPr>
          <w:rFonts w:eastAsiaTheme="minorEastAsia"/>
          <w:color w:val="000000" w:themeColor="text1"/>
          <w:sz w:val="26"/>
          <w:szCs w:val="26"/>
        </w:rPr>
      </w:pPr>
      <w:r>
        <w:rPr>
          <w:rFonts w:ascii="Times New Roman" w:eastAsia="Times New Roman" w:hAnsi="Times New Roman" w:cs="Times New Roman"/>
          <w:color w:val="000000" w:themeColor="text1"/>
          <w:sz w:val="26"/>
          <w:szCs w:val="26"/>
        </w:rPr>
        <w:t>Função exclusiva dos Oficiais de Justiça Avaliadores no efetivo exercício das atribuições inerentes e próprias do cargo (inc. V, art.3º, do Ato 641/87). Isso significa dizer que: só poderia exercer a função de Executante de Mandados o servidor ocupante do cargo de Oficial de Justiça Avaliador (ver o requisito exigido nas Resoluções números 18/91, 18/92, 08/97, 10/97, 05/99, do TRF1). Nesse sentido, o Oficial de Justiça Avaliador designado para o exercício da função de Executante de Mandados deveria cumprir as atribuições de seu cargo (função típica) e deveria também executaras atividades correlatas, acrescidas ao cargo (função atípica);</w:t>
      </w:r>
    </w:p>
    <w:p w14:paraId="071BD867" w14:textId="77777777" w:rsidR="00AB2576" w:rsidRDefault="00AB2576" w:rsidP="00AB2576">
      <w:pPr>
        <w:spacing w:after="0" w:line="240" w:lineRule="auto"/>
        <w:ind w:left="2058" w:right="15" w:hanging="363"/>
        <w:jc w:val="both"/>
        <w:rPr>
          <w:rFonts w:ascii="Times New Roman" w:eastAsia="Times New Roman" w:hAnsi="Times New Roman" w:cs="Times New Roman"/>
          <w:color w:val="000000" w:themeColor="text1"/>
          <w:sz w:val="26"/>
          <w:szCs w:val="26"/>
        </w:rPr>
      </w:pPr>
    </w:p>
    <w:p w14:paraId="52498A7C" w14:textId="77777777" w:rsidR="00AB2576" w:rsidRDefault="00AB2576" w:rsidP="00AB2576">
      <w:pPr>
        <w:pStyle w:val="PargrafodaLista"/>
        <w:numPr>
          <w:ilvl w:val="0"/>
          <w:numId w:val="1"/>
        </w:numPr>
        <w:spacing w:after="0" w:line="240" w:lineRule="auto"/>
        <w:ind w:left="2058" w:right="15" w:hanging="363"/>
        <w:jc w:val="both"/>
        <w:rPr>
          <w:rFonts w:eastAsiaTheme="minorEastAsia"/>
          <w:color w:val="000000" w:themeColor="text1"/>
          <w:sz w:val="26"/>
          <w:szCs w:val="26"/>
        </w:rPr>
      </w:pPr>
      <w:r>
        <w:rPr>
          <w:rFonts w:ascii="Times New Roman" w:eastAsia="Times New Roman" w:hAnsi="Times New Roman" w:cs="Times New Roman"/>
          <w:color w:val="000000" w:themeColor="text1"/>
          <w:sz w:val="26"/>
          <w:szCs w:val="26"/>
        </w:rPr>
        <w:t>Função de livre designação e exoneração, não havendo direito subjetivo do Oficial de Justiça Avaliador à função comissionada. Para exercer a função de Executante de Mandados, o Oficia de Justiça Avaliador precisava ser designado, pelo Juiz-Diretor do Foro da respectiva Seção Judiciária, a exercer a função, após indicação do Juiz Federal a que estivesse subordinado (art.3º, do Ato 641/87, do CJF). O Juiz Federal só indicava o Oficial de Justiça Avaliador ao exercício da função após a criação de um vínculo de confiança. A indicação, a designação e a exoneração da função eram atos discricionários do Juiz Federal Titular da Vara e do Juiz-Diretor do Foro e não precisavam de motivação</w:t>
      </w:r>
    </w:p>
    <w:p w14:paraId="6A52912F" w14:textId="77777777" w:rsidR="00AB2576" w:rsidRDefault="00AB2576" w:rsidP="00AB2576">
      <w:pPr>
        <w:spacing w:after="0" w:line="240" w:lineRule="auto"/>
        <w:ind w:left="2058" w:right="15" w:hanging="363"/>
        <w:jc w:val="both"/>
        <w:rPr>
          <w:rFonts w:ascii="Times New Roman" w:eastAsia="Times New Roman" w:hAnsi="Times New Roman" w:cs="Times New Roman"/>
          <w:color w:val="000000" w:themeColor="text1"/>
          <w:sz w:val="26"/>
          <w:szCs w:val="26"/>
        </w:rPr>
      </w:pPr>
    </w:p>
    <w:p w14:paraId="7C98A59E" w14:textId="77777777" w:rsidR="00AB2576" w:rsidRDefault="00AB2576" w:rsidP="00AB2576">
      <w:pPr>
        <w:pStyle w:val="PargrafodaLista"/>
        <w:numPr>
          <w:ilvl w:val="0"/>
          <w:numId w:val="1"/>
        </w:numPr>
        <w:spacing w:after="0" w:line="240" w:lineRule="auto"/>
        <w:ind w:left="2058" w:right="15" w:hanging="363"/>
        <w:jc w:val="both"/>
        <w:rPr>
          <w:rFonts w:eastAsiaTheme="minorEastAsia"/>
          <w:color w:val="000000" w:themeColor="text1"/>
          <w:sz w:val="26"/>
          <w:szCs w:val="26"/>
        </w:rPr>
      </w:pPr>
      <w:r>
        <w:rPr>
          <w:rFonts w:ascii="Times New Roman" w:eastAsia="Times New Roman" w:hAnsi="Times New Roman" w:cs="Times New Roman"/>
          <w:color w:val="000000" w:themeColor="text1"/>
          <w:sz w:val="26"/>
          <w:szCs w:val="26"/>
        </w:rPr>
        <w:t xml:space="preserve">Função que abrangia encargos estabelecidos no Ato 288/74, do CJF, e exigidos no art. 147 da Lei 1.711/52 (Estatuto dos Funcionários Públicos Civis da União). As atividades da função de Executante de Mandados não foram especificadas no Ato 641/87 e nem foram detalhadas nas Resoluções de números 18/91, 18/92, 08/97, 10/97, 05/99, do TRF1.  Eram os Juízes Titulares das Varas que determinavam as atividades correlatas acrescidas ao cargo de Oficial de Justiça. Com a implantação das Centrais de Mandados, foram as portarias expedidas pelos Juízes-Diretores dos Foros que especificaram muitas atividades da função. A alusão de que a  atividade  da  função de Executante de Mandados era “executar atividades inerentes e próprias do cargo de Oficial de Justiça Avaliador” está incompleta e não exprime a realidade dos fatos, vez que os Oficiais de Justiça Avaliadores </w:t>
      </w:r>
      <w:r>
        <w:rPr>
          <w:rFonts w:ascii="Times New Roman" w:eastAsia="Times New Roman" w:hAnsi="Times New Roman" w:cs="Times New Roman"/>
          <w:color w:val="000000" w:themeColor="text1"/>
          <w:sz w:val="26"/>
          <w:szCs w:val="26"/>
        </w:rPr>
        <w:lastRenderedPageBreak/>
        <w:t>designados a exercer a função de Executante de Mandados cumpriam as atribuições do cargo, executavam as atividades da função, estavam submetidos a  regime  integral  de  dedicação  ao  serviço (ver art.19, §1º, da Lei 8.112/90)  e eram convocados  a  trabalhar  nos  plantões  judiciários (plantões diários,  semanais  e  durante  o  recesso  judiciário)da Justiça  Federal. Entretanto, o Manual de Atribuições do TRF1, de 2004 (em   anexo), normatizou   a   matéria, apresentando e comprovando nas páginas 20 e 21 as atribuições e requisitos da função de Executante de Mandados.</w:t>
      </w:r>
    </w:p>
    <w:p w14:paraId="07168DAC" w14:textId="77777777" w:rsidR="00AB2576" w:rsidRDefault="00AB2576" w:rsidP="00AB2576">
      <w:pPr>
        <w:spacing w:after="0" w:line="240" w:lineRule="auto"/>
        <w:ind w:left="2055" w:right="15"/>
        <w:jc w:val="both"/>
        <w:rPr>
          <w:rFonts w:ascii="Times New Roman" w:eastAsia="Times New Roman" w:hAnsi="Times New Roman" w:cs="Times New Roman"/>
          <w:color w:val="000000" w:themeColor="text1"/>
          <w:sz w:val="26"/>
          <w:szCs w:val="26"/>
        </w:rPr>
      </w:pPr>
    </w:p>
    <w:p w14:paraId="0745A8EC"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Conclui-se, dessa forma, que a função de Executante de Mandados sempre denotou natureza jurídica de função de confiança, foi equiparada à função de direção, chefia e assessoramento pela Resolução 128/94, do CJF, e a partir da Lei 9.421/96 ficou integrada ao Quadro de Pessoal das Funções Comissionadas do Poder Judiciário, compreendendo funções de direção, chefia e assessoramento.</w:t>
      </w:r>
    </w:p>
    <w:p w14:paraId="166E2A5F"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p>
    <w:p w14:paraId="1B5C40AD"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Cabe observar que, por força da Lei 8.868/1994, a Gratificação de Representação de Gabinete e as Funções Comissionadas foram substituídas pela Função Comissionada (FC-05), conforme dispõe o artigo 11</w:t>
      </w:r>
      <w:r>
        <w:rPr>
          <w:rStyle w:val="Refdenotaderodap"/>
          <w:color w:val="000000" w:themeColor="text1"/>
          <w:sz w:val="26"/>
          <w:szCs w:val="26"/>
        </w:rPr>
        <w:footnoteReference w:id="5"/>
      </w:r>
      <w:r>
        <w:rPr>
          <w:rFonts w:ascii="Times New Roman" w:eastAsia="Times New Roman" w:hAnsi="Times New Roman" w:cs="Times New Roman"/>
          <w:color w:val="000000" w:themeColor="text1"/>
          <w:sz w:val="26"/>
          <w:szCs w:val="26"/>
        </w:rPr>
        <w:t>.</w:t>
      </w:r>
    </w:p>
    <w:p w14:paraId="3D29EF3C"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0CCBA817"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vigente artigo 62 da Lei 8.112/1990, na Lei 8.911/1994 e na Lei 9.421/1996, sendo que esta última estabelecia:</w:t>
      </w:r>
    </w:p>
    <w:p w14:paraId="7BFC4548"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17FACD93"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15. Aos servidores das carreiras judiciárias, ocupantes de Função Comissionada, </w:t>
      </w:r>
      <w:r>
        <w:rPr>
          <w:rFonts w:ascii="Times New Roman" w:eastAsia="Times New Roman" w:hAnsi="Times New Roman" w:cs="Times New Roman"/>
          <w:b/>
          <w:bCs/>
          <w:color w:val="000000" w:themeColor="text1"/>
        </w:rPr>
        <w:t>aplica-se a legislação geral de incorporação de parcela mensal da remuneração de cargo em comissão ou função de confiança.</w:t>
      </w:r>
      <w:r>
        <w:rPr>
          <w:rFonts w:ascii="Times New Roman" w:eastAsia="Times New Roman" w:hAnsi="Times New Roman" w:cs="Times New Roman"/>
          <w:color w:val="000000" w:themeColor="text1"/>
        </w:rPr>
        <w:t> </w:t>
      </w:r>
    </w:p>
    <w:p w14:paraId="0BAD41F8"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10C8781A" w14:textId="77777777" w:rsidR="00AB2576" w:rsidRDefault="00AB2576" w:rsidP="00AB2576">
      <w:pPr>
        <w:spacing w:after="0" w:line="240" w:lineRule="auto"/>
        <w:ind w:left="1695" w:right="1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w:t>
      </w:r>
      <w:proofErr w:type="gramStart"/>
      <w:r>
        <w:rPr>
          <w:rFonts w:ascii="Times New Roman" w:eastAsia="Times New Roman" w:hAnsi="Times New Roman" w:cs="Times New Roman"/>
          <w:color w:val="000000" w:themeColor="text1"/>
        </w:rPr>
        <w:t>grifou</w:t>
      </w:r>
      <w:proofErr w:type="gramEnd"/>
      <w:r>
        <w:rPr>
          <w:rFonts w:ascii="Times New Roman" w:eastAsia="Times New Roman" w:hAnsi="Times New Roman" w:cs="Times New Roman"/>
          <w:color w:val="000000" w:themeColor="text1"/>
        </w:rPr>
        <w:t>-se)</w:t>
      </w:r>
    </w:p>
    <w:p w14:paraId="75B428FA"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1B94ED1E" w14:textId="77777777" w:rsidR="00AB2576" w:rsidRDefault="00AB2576" w:rsidP="00AB2576">
      <w:pPr>
        <w:spacing w:after="0" w:line="240" w:lineRule="auto"/>
        <w:ind w:right="15"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Logo, é equivocada a conclusão a que chegou o Tribunal de Contas da União no Acórdão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w:t>
      </w:r>
    </w:p>
    <w:p w14:paraId="3B5959C3"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6DD55AB7"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Assim, é possível demonstrar que, em realidade, a função desempenhada pelos substituídos se enquadrava na hipótese legal, tendo eles preenchido os requisitos temporais necessários à incorporação (fato não controvertido), de modo que é devida a incorporação das parcelas. Veja-se que esta incorporação foi resultado de atos praticados </w:t>
      </w:r>
      <w:r>
        <w:rPr>
          <w:rFonts w:ascii="Times New Roman" w:eastAsia="Times New Roman" w:hAnsi="Times New Roman" w:cs="Times New Roman"/>
          <w:b/>
          <w:bCs/>
          <w:color w:val="000000" w:themeColor="text1"/>
          <w:sz w:val="26"/>
          <w:szCs w:val="26"/>
        </w:rPr>
        <w:t>há mais 20 anos</w:t>
      </w:r>
      <w:r>
        <w:rPr>
          <w:rFonts w:ascii="Times New Roman" w:eastAsia="Times New Roman" w:hAnsi="Times New Roman" w:cs="Times New Roman"/>
          <w:color w:val="000000" w:themeColor="text1"/>
          <w:sz w:val="26"/>
          <w:szCs w:val="26"/>
        </w:rPr>
        <w:t>, estando incorporada ao patrimônio jurídico dos servidores, com decadência para a Administração rever tal ato.</w:t>
      </w:r>
    </w:p>
    <w:p w14:paraId="2D060642"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5B2ADB7B" w14:textId="5378D271"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Sendo devida a incorporação, é inegável que a determinação do corte (ou compensação retroativa) da VPNI viola o disposto no artigo 3º da Lei 8.911/1994</w:t>
      </w:r>
      <w:r>
        <w:rPr>
          <w:rStyle w:val="Refdenotaderodap"/>
          <w:color w:val="000000" w:themeColor="text1"/>
          <w:sz w:val="26"/>
          <w:szCs w:val="26"/>
        </w:rPr>
        <w:footnoteReference w:id="6"/>
      </w:r>
      <w:r>
        <w:rPr>
          <w:rFonts w:ascii="Times New Roman" w:eastAsia="Times New Roman" w:hAnsi="Times New Roman" w:cs="Times New Roman"/>
          <w:color w:val="000000" w:themeColor="text1"/>
          <w:sz w:val="26"/>
          <w:szCs w:val="26"/>
        </w:rPr>
        <w:t>, o disposto no artigo 62, § 2º, da Lei 8.112/1990, na redação vigente até 1997</w:t>
      </w:r>
      <w:r>
        <w:rPr>
          <w:rStyle w:val="Refdenotaderodap"/>
          <w:color w:val="000000" w:themeColor="text1"/>
          <w:sz w:val="26"/>
          <w:szCs w:val="26"/>
        </w:rPr>
        <w:footnoteReference w:id="7"/>
      </w:r>
      <w:r>
        <w:rPr>
          <w:rFonts w:ascii="Times New Roman" w:eastAsia="Times New Roman" w:hAnsi="Times New Roman" w:cs="Times New Roman"/>
          <w:color w:val="000000" w:themeColor="text1"/>
          <w:sz w:val="26"/>
          <w:szCs w:val="26"/>
        </w:rPr>
        <w:t>; e o disposto no art. 15 da Lei 9.421/1996</w:t>
      </w:r>
      <w:r>
        <w:rPr>
          <w:rStyle w:val="Refdenotaderodap"/>
          <w:color w:val="000000" w:themeColor="text1"/>
          <w:sz w:val="26"/>
          <w:szCs w:val="26"/>
        </w:rPr>
        <w:footnoteReference w:id="8"/>
      </w:r>
      <w:r>
        <w:rPr>
          <w:rFonts w:ascii="Times New Roman" w:eastAsia="Times New Roman" w:hAnsi="Times New Roman" w:cs="Times New Roman"/>
          <w:color w:val="000000" w:themeColor="text1"/>
          <w:sz w:val="26"/>
          <w:szCs w:val="26"/>
        </w:rPr>
        <w:t>, disposições legais plenamente válidas, que embasaram a concessão dos quintos aos servidores. Viola, por conseguinte, o princípio da legalidade, inserto no art. 5º, II, e 37, </w:t>
      </w:r>
      <w:r>
        <w:rPr>
          <w:rFonts w:ascii="Times New Roman" w:eastAsia="Times New Roman" w:hAnsi="Times New Roman" w:cs="Times New Roman"/>
          <w:i/>
          <w:iCs/>
          <w:color w:val="000000" w:themeColor="text1"/>
          <w:sz w:val="26"/>
          <w:szCs w:val="26"/>
        </w:rPr>
        <w:t>caput</w:t>
      </w:r>
      <w:r>
        <w:rPr>
          <w:rFonts w:ascii="Times New Roman" w:eastAsia="Times New Roman" w:hAnsi="Times New Roman" w:cs="Times New Roman"/>
          <w:color w:val="000000" w:themeColor="text1"/>
          <w:sz w:val="26"/>
          <w:szCs w:val="26"/>
        </w:rPr>
        <w:t>, da Constituição Federal</w:t>
      </w:r>
      <w:r>
        <w:rPr>
          <w:rStyle w:val="Refdenotaderodap"/>
          <w:color w:val="000000" w:themeColor="text1"/>
          <w:sz w:val="26"/>
          <w:szCs w:val="26"/>
        </w:rPr>
        <w:footnoteReference w:id="9"/>
      </w:r>
      <w:r>
        <w:rPr>
          <w:rFonts w:ascii="Times New Roman" w:eastAsia="Times New Roman" w:hAnsi="Times New Roman" w:cs="Times New Roman"/>
          <w:color w:val="000000" w:themeColor="text1"/>
          <w:sz w:val="26"/>
          <w:szCs w:val="26"/>
        </w:rPr>
        <w:t xml:space="preserve">, devendo ser garantido o pagamento </w:t>
      </w:r>
      <w:proofErr w:type="spellStart"/>
      <w:r>
        <w:rPr>
          <w:rFonts w:ascii="Times New Roman" w:eastAsia="Times New Roman" w:hAnsi="Times New Roman" w:cs="Times New Roman"/>
          <w:color w:val="000000" w:themeColor="text1"/>
          <w:sz w:val="26"/>
          <w:szCs w:val="26"/>
        </w:rPr>
        <w:t>cumuladode</w:t>
      </w:r>
      <w:proofErr w:type="spellEnd"/>
      <w:r>
        <w:rPr>
          <w:rFonts w:ascii="Times New Roman" w:eastAsia="Times New Roman" w:hAnsi="Times New Roman" w:cs="Times New Roman"/>
          <w:color w:val="000000" w:themeColor="text1"/>
          <w:sz w:val="26"/>
          <w:szCs w:val="26"/>
        </w:rPr>
        <w:t xml:space="preserve"> ambas as parcelas (GAE e VPNI).</w:t>
      </w:r>
    </w:p>
    <w:p w14:paraId="1632DECB" w14:textId="0C6E49FD"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54785F49" w14:textId="4568862D" w:rsidR="00AB2576" w:rsidRDefault="00AB2576" w:rsidP="00AB2576">
      <w:pPr>
        <w:spacing w:after="0" w:line="240" w:lineRule="auto"/>
        <w:ind w:right="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 xml:space="preserve">2.4. </w:t>
      </w:r>
      <w:r>
        <w:rPr>
          <w:rFonts w:ascii="Times New Roman" w:eastAsia="Times New Roman" w:hAnsi="Times New Roman" w:cs="Times New Roman"/>
          <w:b/>
          <w:bCs/>
          <w:color w:val="000000" w:themeColor="text1"/>
          <w:sz w:val="26"/>
          <w:szCs w:val="26"/>
          <w:u w:val="single"/>
        </w:rPr>
        <w:t>Do direito adquirido e da coisa julgada sobre o pagamento da VPNI e da GAE</w:t>
      </w:r>
    </w:p>
    <w:p w14:paraId="28EC4485" w14:textId="77777777" w:rsidR="00AB2576" w:rsidRDefault="00AB2576" w:rsidP="00AB2576">
      <w:pPr>
        <w:spacing w:after="0" w:line="240" w:lineRule="auto"/>
        <w:ind w:right="150" w:firstLine="1701"/>
        <w:jc w:val="both"/>
        <w:rPr>
          <w:rFonts w:ascii="Times New Roman" w:eastAsia="Times New Roman" w:hAnsi="Times New Roman" w:cs="Times New Roman"/>
          <w:color w:val="000000" w:themeColor="text1"/>
          <w:sz w:val="26"/>
          <w:szCs w:val="26"/>
        </w:rPr>
      </w:pPr>
    </w:p>
    <w:p w14:paraId="0B0D635C" w14:textId="4E34EDFB"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Em tema que reflete valores de até </w:t>
      </w:r>
      <w:r>
        <w:rPr>
          <w:rFonts w:ascii="Times New Roman" w:eastAsia="Times New Roman" w:hAnsi="Times New Roman" w:cs="Times New Roman"/>
          <w:b/>
          <w:bCs/>
          <w:color w:val="000000" w:themeColor="text1"/>
          <w:sz w:val="26"/>
          <w:szCs w:val="26"/>
        </w:rPr>
        <w:t>R$ 3.500,00</w:t>
      </w:r>
      <w:r>
        <w:rPr>
          <w:rFonts w:ascii="Times New Roman" w:eastAsia="Times New Roman" w:hAnsi="Times New Roman" w:cs="Times New Roman"/>
          <w:color w:val="000000" w:themeColor="text1"/>
          <w:sz w:val="26"/>
          <w:szCs w:val="26"/>
        </w:rPr>
        <w:t xml:space="preserve"> (três mil e quinhentos reais) por mês</w:t>
      </w:r>
      <w:r>
        <w:rPr>
          <w:rStyle w:val="Refdenotaderodap"/>
          <w:rFonts w:ascii="Times New Roman" w:eastAsia="Times New Roman" w:hAnsi="Times New Roman" w:cs="Times New Roman"/>
          <w:color w:val="000000" w:themeColor="text1"/>
          <w:sz w:val="26"/>
          <w:szCs w:val="26"/>
        </w:rPr>
        <w:footnoteReference w:id="10"/>
      </w:r>
      <w:r>
        <w:rPr>
          <w:rFonts w:ascii="Times New Roman" w:eastAsia="Times New Roman" w:hAnsi="Times New Roman" w:cs="Times New Roman"/>
          <w:color w:val="000000" w:themeColor="text1"/>
          <w:sz w:val="26"/>
          <w:szCs w:val="26"/>
        </w:rPr>
        <w:t>, incorporados há remuneração há mais de 20 anos, não há como esquecer do princípio da segurança jurídica e de dois dos seus corolários: direito adquirido e coisa julgada.</w:t>
      </w:r>
    </w:p>
    <w:p w14:paraId="1BA96703"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4CE1A678"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Pelo referido até aqui, nota-se que há direito adquirido dos substituídos aos quintos incorporados com base no artigo 62 da Lei nº 8.112, de 1990, no artigo 3º da Lei nº 8.911, de 1994, no artigo 15 da Lei nº 9.421, de 1996, e nos regulamentos correspondentes que, embora revogados, tiveram seus efeitos mantidos pela lei revogadora, a qual transformou as parcelas incorporadas em Vantagem Pessoal Nominalmente Identificada, sujeita exclusivamente à revisão geral de remuneração.</w:t>
      </w:r>
    </w:p>
    <w:p w14:paraId="07BC3545"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5A544C37"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Nesse sentido, garante a Constituição da República: </w:t>
      </w:r>
    </w:p>
    <w:p w14:paraId="6EFCC400"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71F83506"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5º (...) XXXVI - a lei não prejudicará o direito adquirido, o ato jurídico perfeito e a coisa julgada; </w:t>
      </w:r>
    </w:p>
    <w:p w14:paraId="5A171F4A"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44183A51"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No âmbito legislativo ordinário, o direito adquirido encontra proteção no § 2º do artigo 6º da LINDB:</w:t>
      </w:r>
    </w:p>
    <w:p w14:paraId="7082067F"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47402482"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6º (...) § 2º Consideram-se adquiridos assim os direitos que o seu titular, ou alguém por ele, possa exercer, como aqueles cujo começo do exercício tenha termo prefixo, ou condição preestabelecida inalterável, a arbítrio de outrem. </w:t>
      </w:r>
    </w:p>
    <w:p w14:paraId="02C55823"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67D2E013"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incorporação de gratificação por servidor investido em função comissionada foi disciplinada pela Lei 8.112/90, na redação original do artigo 62, que previu a proporção de um quinto por ano de exercício na função até o limite de cinco quintos. Como a aplicação desses critérios dependiam de lei específica, segundo os termos do parágrafo 5º, surgiu, nesse contexto, a Lei 8.911, de 11.07.94, que veio definir os critérios de incorporação de vantagens estabelecidos no Regime Jurídico Único</w:t>
      </w:r>
      <w:r>
        <w:rPr>
          <w:rFonts w:ascii="Times New Roman" w:eastAsia="Times New Roman" w:hAnsi="Times New Roman" w:cs="Times New Roman"/>
          <w:i/>
          <w:iCs/>
          <w:color w:val="000000" w:themeColor="text1"/>
          <w:sz w:val="26"/>
          <w:szCs w:val="26"/>
        </w:rPr>
        <w:t>.</w:t>
      </w:r>
    </w:p>
    <w:p w14:paraId="1FEB1CF0"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19C1DA1D"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Com a Lei 9.527, de 1997, foram alterados os artigos 62, da Lei 8.112/90 e 3º, da Lei 8.911/94, excluindo-se do seu texto os parágrafos referentes à incorporação da vantagem, que passou a se denominar Vantagem Pessoal Nominalmente Identificada (VPNI).</w:t>
      </w:r>
    </w:p>
    <w:p w14:paraId="3CD9437B"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75FEA151" w14:textId="3E508AD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Com efeito, antes da criação da Gratificação de Atividade Externa (GAE), o recorrente adquiriu o direito à incorporação (ou à atualização) da FC pelo exercício da função de executante de mandados. Na forma da legislação regência, os quintos foram transformados em VPNI e incorporados como parcela definitiva da remuneração, integrada ao patrimônio jurídico de cada servidor.</w:t>
      </w:r>
    </w:p>
    <w:p w14:paraId="447FA63F"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7019A89C"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Sobre o período entre 1998 e 2001 (Medida Provisória 2.225-45/2001), os Tribunais passaram pelo questionamento da legalidade dos quintos (inclusive no TCU). Contudo, no julgamento dos embargos do </w:t>
      </w:r>
      <w:r>
        <w:rPr>
          <w:rFonts w:ascii="Times New Roman" w:eastAsia="Times New Roman" w:hAnsi="Times New Roman" w:cs="Times New Roman"/>
          <w:b/>
          <w:bCs/>
          <w:color w:val="000000" w:themeColor="text1"/>
          <w:sz w:val="26"/>
          <w:szCs w:val="26"/>
        </w:rPr>
        <w:t>RE 638115 RG-CE</w:t>
      </w:r>
      <w:r>
        <w:rPr>
          <w:rStyle w:val="Refdenotaderodap"/>
          <w:rFonts w:ascii="Times New Roman" w:eastAsia="Times New Roman" w:hAnsi="Times New Roman" w:cs="Times New Roman"/>
          <w:color w:val="000000" w:themeColor="text1"/>
          <w:sz w:val="26"/>
          <w:szCs w:val="26"/>
        </w:rPr>
        <w:footnoteReference w:id="11"/>
      </w:r>
      <w:r>
        <w:rPr>
          <w:rFonts w:ascii="Times New Roman" w:eastAsia="Times New Roman" w:hAnsi="Times New Roman" w:cs="Times New Roman"/>
          <w:color w:val="000000" w:themeColor="text1"/>
          <w:sz w:val="26"/>
          <w:szCs w:val="26"/>
        </w:rPr>
        <w:t>, considerou-se indevida a cessação imediata do pagamento dos quintos quando fundado em decisão judicial definitiva, reconhecendo a existência de repercussão geral de questão constitucional suscitada em quintos, o que demonstra a preocupação com o princípio da segurança jurídica e da proteção da confiança legítima.</w:t>
      </w:r>
    </w:p>
    <w:p w14:paraId="23664DD4"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26C479E3" w14:textId="552723E6"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E no caso do recorrente, os quintos foram incorporados definitivamente ao seu patrimônio jurídico em razão da coisa julgada produzida em ação coletiva do </w:t>
      </w:r>
      <w:r>
        <w:rPr>
          <w:rFonts w:ascii="Times New Roman" w:eastAsia="Times New Roman" w:hAnsi="Times New Roman" w:cs="Times New Roman"/>
          <w:b/>
          <w:bCs/>
          <w:color w:val="000000" w:themeColor="text1"/>
          <w:sz w:val="26"/>
          <w:szCs w:val="26"/>
        </w:rPr>
        <w:t>SITRAEMG (processo no. 0051848-05.2003.4.01.3800, transitado em julgado em 2013</w:t>
      </w:r>
      <w:r>
        <w:rPr>
          <w:rFonts w:ascii="Times New Roman" w:eastAsia="Times New Roman" w:hAnsi="Times New Roman" w:cs="Times New Roman"/>
          <w:color w:val="000000" w:themeColor="text1"/>
          <w:sz w:val="26"/>
          <w:szCs w:val="26"/>
        </w:rPr>
        <w:t xml:space="preserve">). Independentemente da nova tese jurídica esposada pelo Tribunal de Contas da União no Acórdão 2784/2016-Plenário, a questão da incorporação dos quintos e da modulação direta ou por analogia (onde parcela transitada em julgado não pode ser objeto de corte) foi definida pelo Supremo Tribunal Federal. </w:t>
      </w:r>
    </w:p>
    <w:p w14:paraId="5A84B1F6"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2FAC028F"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Além disso, o Superior Tribunal de Justiça entende que vantagens pessoais decorrentes do exercício de função gratificada (quintos/décimos), uma vez incorporadas pelo servidor público, não poderiam ser retiradas do patrimônio jurídico de seus beneficiários. Vejam-se as ementas seguintes:</w:t>
      </w:r>
    </w:p>
    <w:p w14:paraId="74EAF9C5"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757CE1E4" w14:textId="77777777" w:rsidR="00AB2576" w:rsidRDefault="00AB2576" w:rsidP="00AB2576">
      <w:pPr>
        <w:spacing w:after="0" w:line="240" w:lineRule="auto"/>
        <w:ind w:left="1701" w:right="150" w:hanging="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CONSTITUCIONAL - ADMINISTRATIVO – RECURSO ORDINÁRIO EM MANDADO DE SEGURANÇA - ANTIGA SERVIDORA PÚBLICA DO TRIBUNAL DE JUSTIÇA DO DISTRITO FEDERAL E DOS TERRITÓRIOS - </w:t>
      </w:r>
      <w:r>
        <w:rPr>
          <w:rFonts w:ascii="Times New Roman" w:eastAsia="Times New Roman" w:hAnsi="Times New Roman" w:cs="Times New Roman"/>
          <w:b/>
          <w:bCs/>
          <w:color w:val="000000" w:themeColor="text1"/>
        </w:rPr>
        <w:t>"QUINTOS" INCORPORADOS -</w:t>
      </w:r>
      <w:r>
        <w:rPr>
          <w:rFonts w:ascii="Times New Roman" w:eastAsia="Times New Roman" w:hAnsi="Times New Roman" w:cs="Times New Roman"/>
          <w:color w:val="000000" w:themeColor="text1"/>
        </w:rPr>
        <w:t xml:space="preserve"> TRANSPOSIÇÃO DESTES VALORES PARA O CARGO DE PROCURADORA DO DISTRITO FEDERAL, ALÇADO POR MEIO DE CONCURSO PÚBLICO - VANTAGENS PESSOAIS - POSSIBILIDADE - ORDEM CONCEDIDA.</w:t>
      </w:r>
    </w:p>
    <w:p w14:paraId="52F2D440" w14:textId="77777777" w:rsidR="00AB2576" w:rsidRDefault="00AB2576" w:rsidP="00AB2576">
      <w:pPr>
        <w:spacing w:after="0" w:line="240" w:lineRule="auto"/>
        <w:ind w:left="1701" w:right="150" w:hanging="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 Consoante uníssona jurisprudência desta Corte Superior, através de suas 5ª e 6ª Turmas, competentes para julgar o tema (cf. entre outros, ROMS </w:t>
      </w:r>
      <w:proofErr w:type="spellStart"/>
      <w:r>
        <w:rPr>
          <w:rFonts w:ascii="Times New Roman" w:eastAsia="Times New Roman" w:hAnsi="Times New Roman" w:cs="Times New Roman"/>
          <w:color w:val="000000" w:themeColor="text1"/>
        </w:rPr>
        <w:t>nºs</w:t>
      </w:r>
      <w:proofErr w:type="spellEnd"/>
      <w:r>
        <w:rPr>
          <w:rFonts w:ascii="Times New Roman" w:eastAsia="Times New Roman" w:hAnsi="Times New Roman" w:cs="Times New Roman"/>
          <w:color w:val="000000" w:themeColor="text1"/>
        </w:rPr>
        <w:t xml:space="preserve"> 12.122/DF, 12.138/DF, 11.676/DF, 11.172/RS; e REsp </w:t>
      </w:r>
      <w:proofErr w:type="spellStart"/>
      <w:r>
        <w:rPr>
          <w:rFonts w:ascii="Times New Roman" w:eastAsia="Times New Roman" w:hAnsi="Times New Roman" w:cs="Times New Roman"/>
          <w:color w:val="000000" w:themeColor="text1"/>
        </w:rPr>
        <w:t>nºs</w:t>
      </w:r>
      <w:proofErr w:type="spellEnd"/>
      <w:r>
        <w:rPr>
          <w:rFonts w:ascii="Times New Roman" w:eastAsia="Times New Roman" w:hAnsi="Times New Roman" w:cs="Times New Roman"/>
          <w:color w:val="000000" w:themeColor="text1"/>
        </w:rPr>
        <w:t xml:space="preserve"> 254.709/DF, 396.791/DF, 275.189/DF), </w:t>
      </w:r>
      <w:r>
        <w:rPr>
          <w:rFonts w:ascii="Times New Roman" w:eastAsia="Times New Roman" w:hAnsi="Times New Roman" w:cs="Times New Roman"/>
          <w:b/>
          <w:bCs/>
          <w:color w:val="000000" w:themeColor="text1"/>
        </w:rPr>
        <w:t>os chamados "quintos", uma vez incorporados, tornam-se vantagens pessoais, não podendo mais ser retirados do patrimônio de seus beneficiários</w:t>
      </w:r>
      <w:proofErr w:type="gramStart"/>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RMS 13299/DF, DJ 13.10.2003, Rel. Min. Jorge </w:t>
      </w:r>
      <w:proofErr w:type="spellStart"/>
      <w:r>
        <w:rPr>
          <w:rFonts w:ascii="Times New Roman" w:eastAsia="Times New Roman" w:hAnsi="Times New Roman" w:cs="Times New Roman"/>
          <w:color w:val="000000" w:themeColor="text1"/>
        </w:rPr>
        <w:t>Scartezzini</w:t>
      </w:r>
      <w:proofErr w:type="spellEnd"/>
      <w:r>
        <w:rPr>
          <w:rFonts w:ascii="Times New Roman" w:eastAsia="Times New Roman" w:hAnsi="Times New Roman" w:cs="Times New Roman"/>
          <w:color w:val="000000" w:themeColor="text1"/>
        </w:rPr>
        <w:t>)</w:t>
      </w:r>
    </w:p>
    <w:p w14:paraId="48C56ECB" w14:textId="77777777" w:rsidR="00AB2576" w:rsidRDefault="00AB2576" w:rsidP="00AB2576">
      <w:pPr>
        <w:spacing w:after="0" w:line="240" w:lineRule="auto"/>
        <w:ind w:left="1701" w:right="150" w:hanging="6"/>
        <w:jc w:val="both"/>
        <w:rPr>
          <w:rFonts w:ascii="Times New Roman" w:eastAsia="Times New Roman" w:hAnsi="Times New Roman" w:cs="Times New Roman"/>
          <w:color w:val="000000" w:themeColor="text1"/>
        </w:rPr>
      </w:pPr>
    </w:p>
    <w:p w14:paraId="59384FE4" w14:textId="77777777" w:rsidR="00AB2576" w:rsidRDefault="00AB2576" w:rsidP="00AB2576">
      <w:pPr>
        <w:spacing w:after="0" w:line="240" w:lineRule="auto"/>
        <w:ind w:left="1701" w:right="150" w:hanging="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RECURSO ORDINÁRIO EM MANDADO DE SEGURANÇA. ADMINISTRATIVO. INCORPORAÇÃO DE GRATIFICAÇÕES E FUNÇÕES GRATIFICADAS EXERCIDAS EM OUTRO PODER. </w:t>
      </w:r>
      <w:r>
        <w:rPr>
          <w:rFonts w:ascii="Times New Roman" w:eastAsia="Times New Roman" w:hAnsi="Times New Roman" w:cs="Times New Roman"/>
          <w:b/>
          <w:bCs/>
          <w:color w:val="000000" w:themeColor="text1"/>
        </w:rPr>
        <w:t>DIREITO ADQUIRIDO</w:t>
      </w:r>
      <w:r>
        <w:rPr>
          <w:rFonts w:ascii="Times New Roman" w:eastAsia="Times New Roman" w:hAnsi="Times New Roman" w:cs="Times New Roman"/>
          <w:color w:val="000000" w:themeColor="text1"/>
        </w:rPr>
        <w:t>. LEI Nº 10.842/96. (...)</w:t>
      </w:r>
    </w:p>
    <w:p w14:paraId="605DB81D" w14:textId="77777777" w:rsidR="00AB2576" w:rsidRDefault="00AB2576" w:rsidP="00AB2576">
      <w:pPr>
        <w:spacing w:after="0" w:line="240" w:lineRule="auto"/>
        <w:ind w:left="1701" w:right="150" w:hanging="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Pr>
          <w:rFonts w:ascii="Times New Roman" w:eastAsia="Times New Roman" w:hAnsi="Times New Roman" w:cs="Times New Roman"/>
          <w:b/>
          <w:bCs/>
          <w:color w:val="000000" w:themeColor="text1"/>
        </w:rPr>
        <w:t>As vantagens de ordem pessoal, consideradas como tal os adicionais por tempo de serviço as gratificações concedidas em razão da natureza ou do local de trabalho, uma vez incorporadas ao patrimônio do servidor, tornam-se insusceptíveis de extinção</w:t>
      </w:r>
      <w:r>
        <w:rPr>
          <w:rFonts w:ascii="Times New Roman" w:eastAsia="Times New Roman" w:hAnsi="Times New Roman" w:cs="Times New Roman"/>
          <w:color w:val="000000" w:themeColor="text1"/>
        </w:rPr>
        <w:t xml:space="preserve"> (...) (RMS 9936/RS, DJ 04.08.2003, Rel. Min. Hamilton </w:t>
      </w:r>
      <w:proofErr w:type="spellStart"/>
      <w:r>
        <w:rPr>
          <w:rFonts w:ascii="Times New Roman" w:eastAsia="Times New Roman" w:hAnsi="Times New Roman" w:cs="Times New Roman"/>
          <w:color w:val="000000" w:themeColor="text1"/>
        </w:rPr>
        <w:t>Carvalhido</w:t>
      </w:r>
      <w:proofErr w:type="spellEnd"/>
      <w:r>
        <w:rPr>
          <w:rFonts w:ascii="Times New Roman" w:eastAsia="Times New Roman" w:hAnsi="Times New Roman" w:cs="Times New Roman"/>
          <w:color w:val="000000" w:themeColor="text1"/>
        </w:rPr>
        <w:t>)</w:t>
      </w:r>
    </w:p>
    <w:p w14:paraId="066D2C05"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253E7C7B"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Se não fosse suficiente, não houve, nesses últimos 20 anos (desde a VPNI) ou 12 anos (desde a GAE), qualquer alteração legislativa ou fato novo que pudesse justificar a mudança de interpretação pelo Órgão de Controle. </w:t>
      </w:r>
    </w:p>
    <w:p w14:paraId="693A4B28" w14:textId="77777777" w:rsidR="00AB2576" w:rsidRDefault="00AB2576" w:rsidP="00AB2576">
      <w:pPr>
        <w:spacing w:after="0" w:line="240" w:lineRule="auto"/>
        <w:ind w:right="150" w:firstLine="1695"/>
        <w:jc w:val="both"/>
        <w:rPr>
          <w:rFonts w:ascii="Times New Roman" w:eastAsia="Times New Roman" w:hAnsi="Times New Roman" w:cs="Times New Roman"/>
          <w:color w:val="000000" w:themeColor="text1"/>
          <w:sz w:val="26"/>
          <w:szCs w:val="26"/>
        </w:rPr>
      </w:pPr>
    </w:p>
    <w:p w14:paraId="7C621A84"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Lei 11.416/2006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14:paraId="5AA023C0"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4C8868DF"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Art. 16.  Fica instituída a Gratificação de Atividade Externa – GAE, devida exclusivamente aos ocupantes do cargo de Analista Judiciário referidos no § 1º do art. 4º desta Lei. </w:t>
      </w:r>
    </w:p>
    <w:p w14:paraId="282C10F9"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1º A gratificação de que trata este artigo corresponde a 35% (trinta e cinco por cento) do vencimento básico do servidor. </w:t>
      </w:r>
    </w:p>
    <w:p w14:paraId="3D93F1C1" w14:textId="77777777" w:rsidR="00AB2576" w:rsidRDefault="00AB2576" w:rsidP="00AB2576">
      <w:pPr>
        <w:spacing w:after="0" w:line="240" w:lineRule="auto"/>
        <w:ind w:left="169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2º É vedada a percepção da gratificação prevista neste artigo pelo servidor designado para o exercício de função comissionada ou nomeado para cargo em comissão. </w:t>
      </w:r>
    </w:p>
    <w:p w14:paraId="6FAE5606"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0E270703"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Dessa forma, a Lei 11.416/2006 instituiu a Gratificação de Atividade Externa, como vantagem integrante da estrutura remuneratória do cargo de provimento efetivo de Oficial de Justiça Avaliador Federal, sem natureza de função comissionada, vez que – diferentemente da GRG e da FC - independe de qualquer juízo de discricionariedade na sua concessão.</w:t>
      </w:r>
    </w:p>
    <w:p w14:paraId="0A44C80C"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0BBB328E"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O simples exercício das atribuições do cargo, pelo servidor, faz surgir o direito subjetivo à percepção da vantagem, que inclusive deve também integrar seus futuros proventos de aposentadorias que devam ser calculados com base na totalidade da remuneração do cargo efetivo, até porque, dada a sua natureza remuneratória, a parcela integra a remuneração contributiva utilizada no cálculo dos proventos.</w:t>
      </w:r>
    </w:p>
    <w:p w14:paraId="278F1BEC"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382EF843"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Desse modo, em razão da entrada em vigor da Lei 11.416/2006, em 15 de dezembro de 2007, os Oficiais de Justiça passaram a fazer jus à Gratificação de </w:t>
      </w:r>
      <w:r>
        <w:rPr>
          <w:rFonts w:ascii="Times New Roman" w:eastAsia="Times New Roman" w:hAnsi="Times New Roman" w:cs="Times New Roman"/>
          <w:color w:val="000000" w:themeColor="text1"/>
          <w:sz w:val="26"/>
          <w:szCs w:val="26"/>
        </w:rPr>
        <w:lastRenderedPageBreak/>
        <w:t>Atividade Externa, sendo esta implementada também na remuneração dos servidores que possuíam VPNI oriunda de quintos incorporados.</w:t>
      </w:r>
    </w:p>
    <w:p w14:paraId="7CF6FFC6"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2ABF3C2D"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Nesse sentido, a legislação em vigor desde a instituição da GAE afirmou a sua compatibilidade com as demais parcelas remuneratórias já incorporadas. Entre a GAE e qualquer VPNI é impossível a existência de </w:t>
      </w:r>
      <w:r>
        <w:rPr>
          <w:rFonts w:ascii="Times New Roman" w:eastAsia="Times New Roman" w:hAnsi="Times New Roman" w:cs="Times New Roman"/>
          <w:i/>
          <w:iCs/>
          <w:color w:val="000000" w:themeColor="text1"/>
          <w:sz w:val="26"/>
          <w:szCs w:val="26"/>
        </w:rPr>
        <w:t>bis in idem</w:t>
      </w:r>
      <w:r>
        <w:rPr>
          <w:rFonts w:ascii="Times New Roman" w:eastAsia="Times New Roman" w:hAnsi="Times New Roman" w:cs="Times New Roman"/>
          <w:color w:val="000000" w:themeColor="text1"/>
          <w:sz w:val="26"/>
          <w:szCs w:val="26"/>
        </w:rPr>
        <w:t>, seja porque é posicionamento pacificado na jurisprudência que a VPNI não guarda conexão com a parcela que lhe deu origem, seja porque a incorporação se deu sobre GRG e FC em função de confiança de executante de mandados, diversa da GAE. O equívoco da Corte de Contas contraria a consolidação da interpretação judicial a respeito.</w:t>
      </w:r>
    </w:p>
    <w:p w14:paraId="05745DE6"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5C42E1F9"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outra perspectiva apresentada pela Corte de Contas, nos acórdãos paradigmas que influenciaram as atuações dos tribunais, afirma a proibição do recebimento das parcelas GAE e VPNI por suposta incidência do § 2º do artigo 16 da Lei 11.416</w:t>
      </w:r>
      <w:r>
        <w:rPr>
          <w:rStyle w:val="Refdenotaderodap"/>
          <w:rFonts w:ascii="Times New Roman" w:eastAsia="Times New Roman" w:hAnsi="Times New Roman" w:cs="Times New Roman"/>
          <w:color w:val="000000" w:themeColor="text1"/>
          <w:sz w:val="26"/>
          <w:szCs w:val="26"/>
        </w:rPr>
        <w:footnoteReference w:id="12"/>
      </w:r>
      <w:r>
        <w:rPr>
          <w:rFonts w:ascii="Times New Roman" w:eastAsia="Times New Roman" w:hAnsi="Times New Roman" w:cs="Times New Roman"/>
          <w:color w:val="000000" w:themeColor="text1"/>
          <w:sz w:val="26"/>
          <w:szCs w:val="26"/>
        </w:rPr>
        <w:t xml:space="preserve">, de 2006. Ora, o referido §2º do artigo 16 veda apenas o pagamento da GAE para quem estiver </w:t>
      </w:r>
      <w:r>
        <w:rPr>
          <w:rFonts w:ascii="Times New Roman" w:eastAsia="Times New Roman" w:hAnsi="Times New Roman" w:cs="Times New Roman"/>
          <w:b/>
          <w:bCs/>
          <w:color w:val="000000" w:themeColor="text1"/>
          <w:sz w:val="26"/>
          <w:szCs w:val="26"/>
          <w:u w:val="single"/>
        </w:rPr>
        <w:t>no exercício</w:t>
      </w:r>
      <w:r>
        <w:rPr>
          <w:rFonts w:ascii="Times New Roman" w:eastAsia="Times New Roman" w:hAnsi="Times New Roman" w:cs="Times New Roman"/>
          <w:color w:val="000000" w:themeColor="text1"/>
          <w:sz w:val="26"/>
          <w:szCs w:val="26"/>
        </w:rPr>
        <w:t xml:space="preserve"> simultâneo e presente de função comissionada ou </w:t>
      </w:r>
      <w:r>
        <w:rPr>
          <w:rFonts w:ascii="Times New Roman" w:eastAsia="Times New Roman" w:hAnsi="Times New Roman" w:cs="Times New Roman"/>
          <w:b/>
          <w:bCs/>
          <w:color w:val="000000" w:themeColor="text1"/>
          <w:sz w:val="26"/>
          <w:szCs w:val="26"/>
          <w:u w:val="single"/>
        </w:rPr>
        <w:t>nomeado</w:t>
      </w:r>
      <w:r>
        <w:rPr>
          <w:rFonts w:ascii="Times New Roman" w:eastAsia="Times New Roman" w:hAnsi="Times New Roman" w:cs="Times New Roman"/>
          <w:color w:val="000000" w:themeColor="text1"/>
          <w:sz w:val="26"/>
          <w:szCs w:val="26"/>
        </w:rPr>
        <w:t xml:space="preserve"> para cargo em comissão. E a razão é bastante simples: se estiver no desempenho de função comissionada de assessoria interna, não estará na atividade externa que suscita a GAE (caso de assessoria em gabinete, por exemplo). Em resumo, </w:t>
      </w:r>
      <w:r>
        <w:rPr>
          <w:rFonts w:ascii="Times New Roman" w:eastAsia="Times New Roman" w:hAnsi="Times New Roman" w:cs="Times New Roman"/>
          <w:b/>
          <w:bCs/>
          <w:color w:val="000000" w:themeColor="text1"/>
          <w:sz w:val="26"/>
          <w:szCs w:val="26"/>
        </w:rPr>
        <w:t>a restrição se dirige apenas ao exercício</w:t>
      </w:r>
      <w:r>
        <w:rPr>
          <w:rFonts w:ascii="Times New Roman" w:eastAsia="Times New Roman" w:hAnsi="Times New Roman" w:cs="Times New Roman"/>
          <w:color w:val="000000" w:themeColor="text1"/>
          <w:sz w:val="26"/>
          <w:szCs w:val="26"/>
        </w:rPr>
        <w:t xml:space="preserve"> – </w:t>
      </w:r>
      <w:r>
        <w:rPr>
          <w:rFonts w:ascii="Times New Roman" w:eastAsia="Times New Roman" w:hAnsi="Times New Roman" w:cs="Times New Roman"/>
          <w:b/>
          <w:bCs/>
          <w:color w:val="000000" w:themeColor="text1"/>
          <w:sz w:val="26"/>
          <w:szCs w:val="26"/>
        </w:rPr>
        <w:t>na atividade</w:t>
      </w:r>
      <w:r>
        <w:rPr>
          <w:rFonts w:ascii="Times New Roman" w:eastAsia="Times New Roman" w:hAnsi="Times New Roman" w:cs="Times New Roman"/>
          <w:color w:val="000000" w:themeColor="text1"/>
          <w:sz w:val="26"/>
          <w:szCs w:val="26"/>
        </w:rPr>
        <w:t xml:space="preserve"> – de FC ou CJ concomitante com a função de oficial de justiça, a partir da integralização da GAE.</w:t>
      </w:r>
    </w:p>
    <w:p w14:paraId="0CE3E7C0"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p>
    <w:p w14:paraId="1E3E5F82"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É tão equivocada a interpretação aplicada pelo TCU que no paradigmático Acórdão 2784/2016/TCU-Plenário, assim como em seus similares, a Corte de Contas ressalva que não está proibida a VPNI de quintos de outras funções comissionadas ou cargos em comissão, contrapondo-se ao próprio argumento que invoca o § 2º do artigo 16 da Lei 11.416/2016 como pretenso óbice.</w:t>
      </w:r>
    </w:p>
    <w:p w14:paraId="59E2BEE3"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p>
    <w:p w14:paraId="6AC2014C"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Se quisesse o legislador restringir o direito à GAE nas hipóteses em que os servidores possuem parcelas de função incorporadas, isso seria feito </w:t>
      </w:r>
      <w:r>
        <w:rPr>
          <w:rFonts w:ascii="Times New Roman" w:eastAsia="Times New Roman" w:hAnsi="Times New Roman" w:cs="Times New Roman"/>
          <w:b/>
          <w:bCs/>
          <w:color w:val="000000" w:themeColor="text1"/>
          <w:sz w:val="26"/>
          <w:szCs w:val="26"/>
        </w:rPr>
        <w:t>expressamente</w:t>
      </w:r>
      <w:r>
        <w:rPr>
          <w:rFonts w:ascii="Times New Roman" w:eastAsia="Times New Roman" w:hAnsi="Times New Roman" w:cs="Times New Roman"/>
          <w:color w:val="000000" w:themeColor="text1"/>
          <w:sz w:val="26"/>
          <w:szCs w:val="26"/>
        </w:rPr>
        <w:t>, não cabendo ao TCU legislar para incluir uma extensão da lei ordinária.</w:t>
      </w:r>
    </w:p>
    <w:p w14:paraId="606C889F" w14:textId="0C482F72" w:rsidR="00AB2576" w:rsidRDefault="00AB2576" w:rsidP="00AB2576">
      <w:pPr>
        <w:spacing w:after="0" w:line="240" w:lineRule="auto"/>
        <w:jc w:val="both"/>
        <w:rPr>
          <w:rFonts w:ascii="Times New Roman" w:eastAsia="Times New Roman" w:hAnsi="Times New Roman" w:cs="Times New Roman"/>
          <w:color w:val="000000" w:themeColor="text1"/>
          <w:sz w:val="26"/>
          <w:szCs w:val="26"/>
        </w:rPr>
      </w:pPr>
    </w:p>
    <w:p w14:paraId="2DC71524" w14:textId="215B1BDF" w:rsidR="00AB2576" w:rsidRDefault="00AB2576" w:rsidP="00AB2576">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2.5. </w:t>
      </w:r>
      <w:r>
        <w:rPr>
          <w:rFonts w:ascii="Times New Roman" w:eastAsia="Times New Roman" w:hAnsi="Times New Roman" w:cs="Times New Roman"/>
          <w:b/>
          <w:bCs/>
          <w:color w:val="000000" w:themeColor="text1"/>
          <w:sz w:val="26"/>
          <w:szCs w:val="26"/>
          <w:u w:val="single"/>
        </w:rPr>
        <w:t xml:space="preserve">VPNI: ausência de correlação com a parcela original transformada – previsão legal e jurisprudencial </w:t>
      </w:r>
    </w:p>
    <w:p w14:paraId="4982D61A" w14:textId="77777777" w:rsidR="00AB2576" w:rsidRDefault="00AB2576" w:rsidP="00AB2576">
      <w:pPr>
        <w:spacing w:after="0" w:line="240" w:lineRule="auto"/>
        <w:ind w:right="16" w:firstLine="1701"/>
        <w:jc w:val="both"/>
        <w:rPr>
          <w:rFonts w:ascii="Times New Roman" w:eastAsia="Times New Roman" w:hAnsi="Times New Roman" w:cs="Times New Roman"/>
          <w:color w:val="000000" w:themeColor="text1"/>
          <w:sz w:val="26"/>
          <w:szCs w:val="26"/>
        </w:rPr>
      </w:pPr>
    </w:p>
    <w:p w14:paraId="3B5C7CFC" w14:textId="5E8424B2" w:rsidR="00AB2576" w:rsidRDefault="00AB2576" w:rsidP="00AB2576">
      <w:pPr>
        <w:spacing w:after="0" w:line="240" w:lineRule="auto"/>
        <w:ind w:right="16"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VPNI resultante da transformação dos “quintos” do recorrente não mantém correlação com a parcela originária. Essa característica é própria das </w:t>
      </w:r>
      <w:r>
        <w:rPr>
          <w:rFonts w:ascii="Times New Roman" w:eastAsia="Times New Roman" w:hAnsi="Times New Roman" w:cs="Times New Roman"/>
          <w:color w:val="000000" w:themeColor="text1"/>
          <w:sz w:val="26"/>
          <w:szCs w:val="26"/>
        </w:rPr>
        <w:lastRenderedPageBreak/>
        <w:t>vantagens pessoais nominalmente identificadas, reajustáveis apenas pelas revisões gerais de remuneração.</w:t>
      </w:r>
    </w:p>
    <w:p w14:paraId="6633ABB5" w14:textId="77777777" w:rsidR="00AB2576" w:rsidRDefault="00AB2576" w:rsidP="00AB2576">
      <w:pPr>
        <w:spacing w:after="0" w:line="240" w:lineRule="auto"/>
        <w:ind w:right="16" w:firstLine="1701"/>
        <w:jc w:val="both"/>
        <w:rPr>
          <w:rFonts w:ascii="Times New Roman" w:eastAsia="Times New Roman" w:hAnsi="Times New Roman" w:cs="Times New Roman"/>
          <w:color w:val="000000" w:themeColor="text1"/>
          <w:sz w:val="26"/>
          <w:szCs w:val="26"/>
        </w:rPr>
      </w:pPr>
    </w:p>
    <w:p w14:paraId="674F28A0" w14:textId="77777777" w:rsidR="00AB2576" w:rsidRDefault="00AB2576" w:rsidP="00AB2576">
      <w:pPr>
        <w:spacing w:after="0" w:line="240" w:lineRule="auto"/>
        <w:ind w:right="16"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O TRF da 1ª. Região, reiteradamente, afirmou essa ruptura, demonstrando que os reajustes e reestruturações específicos da parcela de origem não se aplicam à VPNI.</w:t>
      </w:r>
      <w:r>
        <w:rPr>
          <w:rFonts w:ascii="Times New Roman" w:eastAsia="Times New Roman" w:hAnsi="Times New Roman" w:cs="Times New Roman"/>
          <w:b/>
          <w:bCs/>
          <w:color w:val="000000" w:themeColor="text1"/>
          <w:sz w:val="26"/>
          <w:szCs w:val="26"/>
        </w:rPr>
        <w:t xml:space="preserve"> </w:t>
      </w:r>
      <w:r>
        <w:rPr>
          <w:rFonts w:ascii="Times New Roman" w:eastAsia="Times New Roman" w:hAnsi="Times New Roman" w:cs="Times New Roman"/>
          <w:color w:val="000000" w:themeColor="text1"/>
          <w:sz w:val="26"/>
          <w:szCs w:val="26"/>
        </w:rPr>
        <w:t>Nesse sentido:</w:t>
      </w:r>
    </w:p>
    <w:p w14:paraId="62D67537" w14:textId="77777777" w:rsidR="00AB2576" w:rsidRDefault="00AB2576" w:rsidP="00AB2576">
      <w:pPr>
        <w:spacing w:after="0" w:line="240" w:lineRule="auto"/>
        <w:ind w:left="1701" w:right="16"/>
        <w:jc w:val="both"/>
        <w:rPr>
          <w:rFonts w:ascii="Times New Roman" w:eastAsia="Times New Roman" w:hAnsi="Times New Roman" w:cs="Times New Roman"/>
          <w:color w:val="000000" w:themeColor="text1"/>
          <w:sz w:val="26"/>
          <w:szCs w:val="26"/>
        </w:rPr>
      </w:pPr>
    </w:p>
    <w:p w14:paraId="585B98D1" w14:textId="77777777" w:rsidR="00AB2576" w:rsidRDefault="00AB2576" w:rsidP="00AB2576">
      <w:pPr>
        <w:spacing w:after="0" w:line="240" w:lineRule="auto"/>
        <w:ind w:left="1701" w:right="1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Quintos Incorporados. Transformação em Vantagem Pessoal Nominalmente Identifica. Reajuste pelo percentual concedido pela lei 10.415 de 2006. Impossibilidade. Sentença Mantida. 1. Por força do art. 15 da Lei 9.527 de 97, os valores já incorporados a título de quintos, a partir de 11 – 12 – 1997, passaram a constituir vantagem pessoal nominalmente identificada – </w:t>
      </w:r>
      <w:r>
        <w:rPr>
          <w:rFonts w:ascii="Times New Roman" w:eastAsia="Times New Roman" w:hAnsi="Times New Roman" w:cs="Times New Roman"/>
          <w:b/>
          <w:bCs/>
          <w:color w:val="000000" w:themeColor="text1"/>
        </w:rPr>
        <w:t>VPNI, cuja atualização se sujeita apenas à revisão geral de remuneração dos servidores públicos federais, visto que desvinculada da verba que lhe deu origem (função gratificada)</w:t>
      </w:r>
      <w:r>
        <w:rPr>
          <w:rFonts w:ascii="Times New Roman" w:eastAsia="Times New Roman" w:hAnsi="Times New Roman" w:cs="Times New Roman"/>
          <w:color w:val="000000" w:themeColor="text1"/>
        </w:rPr>
        <w:t xml:space="preserve">. 2. O STJ, na linha de precedentes do Supremo Tribunal Federal, entende que não há violação ao princípio da irredutibilidade de vencimentos quando da alteração dos critérios de reajuste das funções comissionadas transformadas em VPNI, porquanto inexiste direito adquirido a regime jurídico. 3. A Lei 10.475 de 2002 promoveu a reestruturação das carreiras do Poder Judiciário Federal, de acordo com critérios de oportunidade e conveniência da Administração Pública não podendo ser tida como reajuste geral anual. 4. Assim, a pretensão de corrigir a VPNI pelo percentual de reajuste concedido pela Lei 11.415 de 2006 viola o princípio da legalidade. 5. Apelação desprovida. Sentença mantida. (TRF 1ª. 1ª. Turma.  Rel. Des. César Augusto </w:t>
      </w:r>
      <w:proofErr w:type="spellStart"/>
      <w:r>
        <w:rPr>
          <w:rFonts w:ascii="Times New Roman" w:eastAsia="Times New Roman" w:hAnsi="Times New Roman" w:cs="Times New Roman"/>
          <w:color w:val="000000" w:themeColor="text1"/>
        </w:rPr>
        <w:t>Bearsi</w:t>
      </w:r>
      <w:proofErr w:type="spellEnd"/>
      <w:r>
        <w:rPr>
          <w:rFonts w:ascii="Times New Roman" w:eastAsia="Times New Roman" w:hAnsi="Times New Roman" w:cs="Times New Roman"/>
          <w:color w:val="000000" w:themeColor="text1"/>
        </w:rPr>
        <w:t xml:space="preserve"> - NUP 001311530.2008.4.01.3400 – AC 2008.34.00.013181-6-DF – data de publicação 08-05-2019)</w:t>
      </w:r>
    </w:p>
    <w:p w14:paraId="4D0281F6" w14:textId="77777777" w:rsidR="00AB2576" w:rsidRDefault="00AB2576" w:rsidP="00AB2576">
      <w:pPr>
        <w:spacing w:after="0" w:line="240" w:lineRule="auto"/>
        <w:ind w:left="1701" w:right="16"/>
        <w:jc w:val="both"/>
        <w:rPr>
          <w:rFonts w:ascii="Times New Roman" w:eastAsia="Times New Roman" w:hAnsi="Times New Roman" w:cs="Times New Roman"/>
          <w:color w:val="000000" w:themeColor="text1"/>
          <w:sz w:val="26"/>
          <w:szCs w:val="26"/>
        </w:rPr>
      </w:pPr>
    </w:p>
    <w:p w14:paraId="744093C1"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Ao analisar a consulta do TRF2 ao Conselho da Justiça Federal (processo 0005894.06.2019.4.90.8000) sobre a acumulação das parcelas, o Conselho Carlos Moreira Alves, em seu voto-vista</w:t>
      </w:r>
      <w:r>
        <w:rPr>
          <w:rStyle w:val="Refdenotaderodap"/>
          <w:rFonts w:ascii="Times New Roman" w:eastAsia="Times New Roman" w:hAnsi="Times New Roman" w:cs="Times New Roman"/>
          <w:color w:val="000000" w:themeColor="text1"/>
          <w:sz w:val="26"/>
          <w:szCs w:val="26"/>
        </w:rPr>
        <w:footnoteReference w:id="13"/>
      </w:r>
      <w:r>
        <w:rPr>
          <w:rFonts w:ascii="Times New Roman" w:eastAsia="Times New Roman" w:hAnsi="Times New Roman" w:cs="Times New Roman"/>
          <w:color w:val="000000" w:themeColor="text1"/>
          <w:sz w:val="26"/>
          <w:szCs w:val="26"/>
        </w:rPr>
        <w:t>, também atesta a desvinculação da natureza jurídica da VPNI, quando afirma:</w:t>
      </w:r>
    </w:p>
    <w:p w14:paraId="6C7147B3"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p>
    <w:p w14:paraId="50D89024"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“Tão pouco estabeleceu que aqueles que cujas remunerações ou proventos contassem parcelas incorporadas em decorrência do exercício, no passado, de funções comissionadas ou de cargos em comissão, teriam, em razão da instituição da Gratificação de Atividade Externa, de optar entre o recebimento desta ou o do valor da parcela incorporada em suas remunerações ou proventos, </w:t>
      </w:r>
      <w:r>
        <w:rPr>
          <w:rFonts w:ascii="Times New Roman" w:eastAsia="Times New Roman" w:hAnsi="Times New Roman" w:cs="Times New Roman"/>
          <w:b/>
          <w:bCs/>
          <w:color w:val="000000" w:themeColor="text1"/>
        </w:rPr>
        <w:t>até porque, uma vez que haja incorporação, o valor incorporado se desprende da função ou do cargo cujo exercício, prolongado no tempo, deu margem a ela, passando, a partir daí, a integrar a remuneração do beneficiário, como vantagem pecuniária permanente, autônoma, na forma enunciada no artigo 41 da Lei. 8.112, de 11 de dezembro de 1.</w:t>
      </w:r>
      <w:proofErr w:type="gramStart"/>
      <w:r>
        <w:rPr>
          <w:rFonts w:ascii="Times New Roman" w:eastAsia="Times New Roman" w:hAnsi="Times New Roman" w:cs="Times New Roman"/>
          <w:b/>
          <w:bCs/>
          <w:color w:val="000000" w:themeColor="text1"/>
        </w:rPr>
        <w:t>990</w:t>
      </w:r>
      <w:r>
        <w:rPr>
          <w:rFonts w:ascii="Times New Roman" w:eastAsia="Times New Roman" w:hAnsi="Times New Roman" w:cs="Times New Roman"/>
          <w:color w:val="000000" w:themeColor="text1"/>
        </w:rPr>
        <w:t>.”</w:t>
      </w:r>
      <w:proofErr w:type="gramEnd"/>
    </w:p>
    <w:p w14:paraId="1F1EA77F" w14:textId="77777777" w:rsidR="00AB2576" w:rsidRDefault="00AB2576" w:rsidP="00AB2576">
      <w:pPr>
        <w:spacing w:after="0" w:line="240" w:lineRule="auto"/>
        <w:ind w:left="1701"/>
        <w:jc w:val="both"/>
        <w:rPr>
          <w:rFonts w:ascii="Times New Roman" w:eastAsia="Times New Roman" w:hAnsi="Times New Roman" w:cs="Times New Roman"/>
          <w:color w:val="000000" w:themeColor="text1"/>
          <w:sz w:val="26"/>
          <w:szCs w:val="26"/>
        </w:rPr>
      </w:pPr>
    </w:p>
    <w:p w14:paraId="760C749F" w14:textId="77777777" w:rsidR="00AB2576" w:rsidRDefault="00AB2576" w:rsidP="00AB2576">
      <w:pPr>
        <w:spacing w:after="0" w:line="240" w:lineRule="auto"/>
        <w:ind w:right="16"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No caso em análise, a incorporação das parcelas de retribuição pelo exercício de função de Executante de Mandados (quintos da FC-5), por atos emitidos há mais de 20 anos, foi transformada pela Lei 9.527/97 em Vantagem Pessoal </w:t>
      </w:r>
      <w:r>
        <w:rPr>
          <w:rFonts w:ascii="Times New Roman" w:eastAsia="Times New Roman" w:hAnsi="Times New Roman" w:cs="Times New Roman"/>
          <w:color w:val="000000" w:themeColor="text1"/>
          <w:sz w:val="26"/>
          <w:szCs w:val="26"/>
        </w:rPr>
        <w:lastRenderedPageBreak/>
        <w:t>Nominalmente Identificada – VPNI, alterando-se a sua natureza jurídica. Desde então, não é mais possível confundi-la com qualquer função comissionada, tampouco com a Gratificação de Atividade Externa (GAE).</w:t>
      </w:r>
    </w:p>
    <w:p w14:paraId="4850E5B5" w14:textId="77777777" w:rsidR="00AB2576" w:rsidRDefault="00AB2576" w:rsidP="00AB2576">
      <w:pPr>
        <w:spacing w:after="0" w:line="240" w:lineRule="auto"/>
        <w:jc w:val="both"/>
        <w:rPr>
          <w:rFonts w:ascii="Times New Roman" w:hAnsi="Times New Roman" w:cs="Times New Roman"/>
          <w:sz w:val="26"/>
          <w:szCs w:val="26"/>
          <w:lang w:eastAsia="pt-BR"/>
        </w:rPr>
      </w:pPr>
    </w:p>
    <w:p w14:paraId="5C99D981" w14:textId="2EC5EC12" w:rsidR="00AB2576" w:rsidRDefault="00AB2576" w:rsidP="00AB2576">
      <w:pPr>
        <w:spacing w:after="0" w:line="240" w:lineRule="auto"/>
        <w:ind w:right="1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2.6. </w:t>
      </w:r>
      <w:r>
        <w:rPr>
          <w:rFonts w:ascii="Times New Roman" w:eastAsia="Times New Roman" w:hAnsi="Times New Roman" w:cs="Times New Roman"/>
          <w:b/>
          <w:bCs/>
          <w:color w:val="000000" w:themeColor="text1"/>
          <w:sz w:val="26"/>
          <w:szCs w:val="26"/>
          <w:u w:val="single"/>
        </w:rPr>
        <w:t>Da inaplicabilidade do Acórdão nº 2784/2016: ausência de determinação de revisão de atos</w:t>
      </w:r>
    </w:p>
    <w:p w14:paraId="153A11CB"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p>
    <w:p w14:paraId="6FC949BF"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Importante destacar-se para o seguinte fato: mesmo quando da fixação do (errôneo) entendimento no Acórdão nº 2784/2016, o Tribunal de Contas da União se deteve à análise de </w:t>
      </w:r>
      <w:r>
        <w:rPr>
          <w:rFonts w:ascii="Times New Roman" w:eastAsia="Times New Roman" w:hAnsi="Times New Roman" w:cs="Times New Roman"/>
          <w:b/>
          <w:bCs/>
          <w:color w:val="000000" w:themeColor="text1"/>
          <w:sz w:val="26"/>
          <w:szCs w:val="26"/>
        </w:rPr>
        <w:t>atos específicos de aposentadoria relacionados a determinados servidores</w:t>
      </w:r>
      <w:r>
        <w:rPr>
          <w:rFonts w:ascii="Times New Roman" w:eastAsia="Times New Roman" w:hAnsi="Times New Roman" w:cs="Times New Roman"/>
          <w:color w:val="000000" w:themeColor="text1"/>
          <w:sz w:val="26"/>
          <w:szCs w:val="26"/>
        </w:rPr>
        <w:t>, não advindo do referido processo nenhuma ordem que pudesse automaticamente ser estendida aos outros servidores.</w:t>
      </w:r>
    </w:p>
    <w:p w14:paraId="181F1CA6"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p>
    <w:p w14:paraId="7C9AD44F"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14:paraId="5ACFC9E4"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p>
    <w:p w14:paraId="70811EF2" w14:textId="77777777" w:rsidR="00AB2576" w:rsidRDefault="00AB2576" w:rsidP="00AB2576">
      <w:pPr>
        <w:spacing w:after="0" w:line="240" w:lineRule="auto"/>
        <w:ind w:firstLine="169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Em outros termos: o Acórdão nº 2784/2016, ainda que tenha apreciado a legalidade de atos de aposentadoria de alguns servidores, </w:t>
      </w:r>
      <w:r>
        <w:rPr>
          <w:rFonts w:ascii="Times New Roman" w:eastAsia="Times New Roman" w:hAnsi="Times New Roman" w:cs="Times New Roman"/>
          <w:b/>
          <w:bCs/>
          <w:color w:val="000000" w:themeColor="text1"/>
          <w:sz w:val="26"/>
          <w:szCs w:val="26"/>
        </w:rPr>
        <w:t>não determinou a revisão das incorporações dos servidores ativos, tampouco dos inativos, “</w:t>
      </w:r>
      <w:r>
        <w:rPr>
          <w:rFonts w:ascii="Times New Roman" w:eastAsia="Times New Roman" w:hAnsi="Times New Roman" w:cs="Times New Roman"/>
          <w:b/>
          <w:bCs/>
          <w:color w:val="000000" w:themeColor="text1"/>
          <w:sz w:val="26"/>
          <w:szCs w:val="26"/>
          <w:u w:val="single"/>
        </w:rPr>
        <w:t>ficando circunscrita ao caso concreto, não obrigando, por conseguinte, os demais órgãos que estão sob sua fiscalização</w:t>
      </w:r>
      <w:r>
        <w:rPr>
          <w:rFonts w:ascii="Times New Roman" w:eastAsia="Times New Roman" w:hAnsi="Times New Roman" w:cs="Times New Roman"/>
          <w:color w:val="000000" w:themeColor="text1"/>
          <w:sz w:val="26"/>
          <w:szCs w:val="26"/>
        </w:rPr>
        <w:t>”.</w:t>
      </w:r>
    </w:p>
    <w:p w14:paraId="248D1211"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p>
    <w:p w14:paraId="52FADC3C" w14:textId="77777777" w:rsidR="00AB2576" w:rsidRDefault="00AB2576" w:rsidP="00AB2576">
      <w:pPr>
        <w:spacing w:after="0" w:line="240" w:lineRule="auto"/>
        <w:ind w:right="15"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Levando-se tais aspectos em consideração e tendo em vista o poder de autotutela da Administração Pública, deveria a Administração Pública entender pela legalidade da cumulação dos benefícios em questão, atentando-se para o fato de que inexiste ordem expressa no acórdão tomado como paradigma para que seja imposto qualquer corte em desfavor dos substituídos. Porém, seguiu-se o equivocado entendimento do TCU e operacionalizou os cortes indevidos.</w:t>
      </w:r>
    </w:p>
    <w:p w14:paraId="01F4CA61" w14:textId="28B2072E" w:rsidR="00AB2576" w:rsidRDefault="00AB2576" w:rsidP="00AB2576">
      <w:pPr>
        <w:spacing w:after="0" w:line="240" w:lineRule="auto"/>
        <w:jc w:val="both"/>
        <w:rPr>
          <w:rFonts w:ascii="Times New Roman" w:hAnsi="Times New Roman" w:cs="Times New Roman"/>
          <w:sz w:val="26"/>
          <w:szCs w:val="26"/>
          <w:lang w:eastAsia="pt-BR"/>
        </w:rPr>
      </w:pPr>
    </w:p>
    <w:p w14:paraId="7902FFD7" w14:textId="76A35281" w:rsidR="00AB2576" w:rsidRDefault="00AB2576"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2.7. </w:t>
      </w:r>
      <w:r>
        <w:rPr>
          <w:rFonts w:ascii="Times New Roman" w:eastAsia="Times New Roman" w:hAnsi="Times New Roman"/>
          <w:b/>
          <w:bCs/>
          <w:color w:val="000000" w:themeColor="text1"/>
          <w:sz w:val="26"/>
          <w:szCs w:val="26"/>
          <w:u w:val="single"/>
        </w:rPr>
        <w:t>Da irredutibilidade</w:t>
      </w:r>
    </w:p>
    <w:p w14:paraId="031DC475"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28067EF8"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O inciso XV do artigo 37 da Constituição da República dispõe sobre o direito de irredutibilidade dos vencimentos dos servidores públicos:</w:t>
      </w:r>
    </w:p>
    <w:p w14:paraId="1C41A7FF"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1DD69916"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4CBBA45A"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XV - o subsídio e os vencimentos dos ocupantes de cargos e empregos públicos são irredutíveis, ressalvado o disposto nos incisos XI e XIV deste artigo e nos arts. 39, § 4º, 150, II, 153, III, e 153, § 2º, I;</w:t>
      </w:r>
    </w:p>
    <w:p w14:paraId="559CF5D9"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p>
    <w:p w14:paraId="019067EB"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Esse direito de não redução da remuneração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14:paraId="1BEF4CEF"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466726E5"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DIREITO ADMINISTRATIVO. AGRAVO REGIMENTAL EM RECURSO EXTRAORDINÁRIO. SERVIDOR PÚBLICO. EXERCÍCIO DE CARGO DE DIREÇÃO. REDUÇÃO DO PERCENTUAL DE OPÇÃO. </w:t>
      </w:r>
      <w:proofErr w:type="gramStart"/>
      <w:r>
        <w:rPr>
          <w:rFonts w:ascii="Times New Roman" w:eastAsia="Times New Roman" w:hAnsi="Times New Roman"/>
          <w:color w:val="000000" w:themeColor="text1"/>
        </w:rPr>
        <w:t>OFENSA À</w:t>
      </w:r>
      <w:proofErr w:type="gramEnd"/>
      <w:r>
        <w:rPr>
          <w:rFonts w:ascii="Times New Roman" w:eastAsia="Times New Roman" w:hAnsi="Times New Roman"/>
          <w:color w:val="000000" w:themeColor="text1"/>
        </w:rPr>
        <w:t xml:space="preserve"> IRREDUTIBILIDADE DE VENCIMENTOS. SÚMULA 279/STF. 1. A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dissentir do entendimento do Tribunal de origem, acerca da ocorrência de decesso remuneratório, seria necessário o reexame dos fatos e provas constantes dos autos. Incidência da Súmula 279/STF. 3. Agravo regimental a que se nega provimento. (RE 518956 AgR, </w:t>
      </w:r>
      <w:proofErr w:type="gramStart"/>
      <w:r>
        <w:rPr>
          <w:rFonts w:ascii="Times New Roman" w:eastAsia="Times New Roman" w:hAnsi="Times New Roman"/>
          <w:color w:val="000000" w:themeColor="text1"/>
        </w:rPr>
        <w:t>Relator(</w:t>
      </w:r>
      <w:proofErr w:type="gramEnd"/>
      <w:r>
        <w:rPr>
          <w:rFonts w:ascii="Times New Roman" w:eastAsia="Times New Roman" w:hAnsi="Times New Roman"/>
          <w:color w:val="000000" w:themeColor="text1"/>
        </w:rPr>
        <w:t>a): Min. ROBERTO BARROSO, Primeira Turma, julgado em 06/10/2015, ACÓRDÃO ELETRÔNICO DJe-216 DIVULG 27-10-2015 PUBLIC 28-10-2015)</w:t>
      </w:r>
    </w:p>
    <w:p w14:paraId="7E4BFBC3"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440664D2"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Assim, o servidor possui a garantia de que seus vencimentos não sofrerão redução. Soma-se a isso o fato de já possuir a gratificação por mais de 5 anos incorporada, fazendo com que a repercussão também nos proventos seja uma decorrência legal, conforme o § 11 do artigo 201, combinado com o § 12 do artigo 40, ambos da Constituição</w:t>
      </w:r>
      <w:r>
        <w:rPr>
          <w:rStyle w:val="Refdenotaderodap"/>
          <w:rFonts w:ascii="Times New Roman" w:eastAsia="Times New Roman" w:hAnsi="Times New Roman"/>
          <w:color w:val="000000" w:themeColor="text1"/>
          <w:sz w:val="26"/>
          <w:szCs w:val="26"/>
        </w:rPr>
        <w:footnoteReference w:id="14"/>
      </w:r>
      <w:r>
        <w:rPr>
          <w:rFonts w:ascii="Times New Roman" w:eastAsia="Times New Roman" w:hAnsi="Times New Roman"/>
          <w:color w:val="000000" w:themeColor="text1"/>
          <w:sz w:val="26"/>
          <w:szCs w:val="26"/>
        </w:rPr>
        <w:t>.</w:t>
      </w:r>
    </w:p>
    <w:p w14:paraId="4456A53B"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 </w:t>
      </w:r>
    </w:p>
    <w:p w14:paraId="4B0D9336"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Além disso, também por força do § 12 do artigo 40 da Constituição da República Federativa do Brasil, os princípios gerais que regem o RGPS devem ser aplicados ao RPPS, como é o caso da irredutibilidade no valor dos benefícios presente </w:t>
      </w:r>
      <w:proofErr w:type="gramStart"/>
      <w:r>
        <w:rPr>
          <w:rFonts w:ascii="Times New Roman" w:eastAsia="Times New Roman" w:hAnsi="Times New Roman"/>
          <w:color w:val="000000" w:themeColor="text1"/>
          <w:sz w:val="26"/>
          <w:szCs w:val="26"/>
        </w:rPr>
        <w:t>no</w:t>
      </w:r>
      <w:proofErr w:type="gramEnd"/>
      <w:r>
        <w:rPr>
          <w:rFonts w:ascii="Times New Roman" w:eastAsia="Times New Roman" w:hAnsi="Times New Roman"/>
          <w:color w:val="000000" w:themeColor="text1"/>
          <w:sz w:val="26"/>
          <w:szCs w:val="26"/>
        </w:rPr>
        <w:t xml:space="preserve"> inciso IV do parágrafo único do artigo 194 da Constituição da República Federativa do Brasil:</w:t>
      </w:r>
    </w:p>
    <w:p w14:paraId="62D56318"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2F477FD0"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rPr>
        <w:t>Art. 194. A seguridade social compreende um conjunto integrado de ações de iniciativa dos Poderes Públicos e da sociedade, destinadas a assegurar os direitos relativos à saúde, à previdência e à assistência social. Parágrafo único. Compete ao Poder Público, nos termos da lei, organizar a seguridade social, com base nos seguintes objetivos: (...) IV - irredutibilidade do valor dos benefícios;</w:t>
      </w:r>
      <w:r>
        <w:rPr>
          <w:rFonts w:ascii="Times New Roman" w:eastAsia="Times New Roman" w:hAnsi="Times New Roman"/>
          <w:color w:val="000000" w:themeColor="text1"/>
          <w:sz w:val="26"/>
          <w:szCs w:val="26"/>
        </w:rPr>
        <w:t xml:space="preserve"> </w:t>
      </w:r>
    </w:p>
    <w:p w14:paraId="64FF1E36"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p>
    <w:p w14:paraId="2A36DAAE"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A doutrina estabelece que o entendimento é que o valor nominal não pode ser reduzido, para não haver a depreciação do benefício:</w:t>
      </w:r>
    </w:p>
    <w:p w14:paraId="15700F9E"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p>
    <w:p w14:paraId="0713E20A"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rPr>
        <w:t xml:space="preserve"> Não há, pois, como se prestigiar soluções infraconstitucionais que levem à depreciação do valor dos benefícios, não havendo como se possibilitar a sua redução nominal. Entenda-se como tal toda aquela situação que possibilite a depreciação do valor real de compra dos benefícios</w:t>
      </w:r>
      <w:r>
        <w:rPr>
          <w:rStyle w:val="Refdenotaderodap"/>
          <w:rFonts w:ascii="Times New Roman" w:eastAsia="Times New Roman" w:hAnsi="Times New Roman"/>
          <w:color w:val="000000" w:themeColor="text1"/>
        </w:rPr>
        <w:footnoteReference w:id="15"/>
      </w:r>
      <w:r>
        <w:rPr>
          <w:rFonts w:ascii="Times New Roman" w:eastAsia="Times New Roman" w:hAnsi="Times New Roman"/>
          <w:color w:val="000000" w:themeColor="text1"/>
        </w:rPr>
        <w:t>.</w:t>
      </w:r>
      <w:r>
        <w:rPr>
          <w:rFonts w:ascii="Times New Roman" w:eastAsia="Times New Roman" w:hAnsi="Times New Roman"/>
          <w:color w:val="000000" w:themeColor="text1"/>
          <w:sz w:val="26"/>
          <w:szCs w:val="26"/>
        </w:rPr>
        <w:t xml:space="preserve"> </w:t>
      </w:r>
    </w:p>
    <w:p w14:paraId="20D3519B"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p>
    <w:p w14:paraId="65EE7515"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Dessa forma, o servidor possui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14:paraId="35B4F4A4" w14:textId="34E644ED" w:rsidR="00AB2576" w:rsidRDefault="00AB2576" w:rsidP="00AB2576">
      <w:pPr>
        <w:spacing w:after="0" w:line="240" w:lineRule="auto"/>
        <w:jc w:val="both"/>
        <w:rPr>
          <w:rFonts w:ascii="Times New Roman" w:hAnsi="Times New Roman" w:cs="Times New Roman"/>
          <w:sz w:val="26"/>
          <w:szCs w:val="26"/>
          <w:lang w:eastAsia="pt-BR"/>
        </w:rPr>
      </w:pPr>
    </w:p>
    <w:p w14:paraId="76EC21D4" w14:textId="3E36960A" w:rsidR="00AB2576" w:rsidRDefault="00AB2576"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2.8. </w:t>
      </w:r>
      <w:r>
        <w:rPr>
          <w:rFonts w:ascii="Times New Roman" w:eastAsia="Times New Roman" w:hAnsi="Times New Roman"/>
          <w:b/>
          <w:bCs/>
          <w:color w:val="000000" w:themeColor="text1"/>
          <w:sz w:val="26"/>
          <w:szCs w:val="26"/>
          <w:u w:val="single"/>
        </w:rPr>
        <w:t>Desrespeito ao caráter contributivo</w:t>
      </w:r>
    </w:p>
    <w:p w14:paraId="5BDAB9E6"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711A9E5E"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Deve-se observar ainda que, no que se refere aos futuros proventos, conforme entendimento recente do Supremo Tribunal Federal no Recurso Extraordinário 593.068, há contribuição previdenciária apenas sobre as parcelas que se incorporam à aposentadoria e, como no presente caso houve o desconto sobre ambas as parcelas, ambas devem ter repercussão sobre os proventos:</w:t>
      </w:r>
    </w:p>
    <w:p w14:paraId="253A78FB"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4F400056"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sz w:val="20"/>
          <w:szCs w:val="20"/>
        </w:rPr>
        <w:t xml:space="preserve">DIREITO PREVIDENCIÁRIO. </w:t>
      </w:r>
      <w:r>
        <w:rPr>
          <w:rFonts w:ascii="Times New Roman" w:eastAsia="Times New Roman" w:hAnsi="Times New Roman"/>
          <w:b/>
          <w:bCs/>
          <w:color w:val="000000" w:themeColor="text1"/>
          <w:sz w:val="20"/>
          <w:szCs w:val="20"/>
        </w:rPr>
        <w:t>RECURSO EXTRAORDINÁRIO COM REPERCUSSÃO GERAL</w:t>
      </w:r>
      <w:r>
        <w:rPr>
          <w:rFonts w:ascii="Times New Roman" w:eastAsia="Times New Roman" w:hAnsi="Times New Roman"/>
          <w:color w:val="000000" w:themeColor="text1"/>
          <w:sz w:val="20"/>
          <w:szCs w:val="20"/>
        </w:rPr>
        <w:t xml:space="preserve">. REGIME PRÓPRIO DOS SERVIDORES PÚBLICOS. </w:t>
      </w:r>
      <w:r>
        <w:rPr>
          <w:rFonts w:ascii="Times New Roman" w:eastAsia="Times New Roman" w:hAnsi="Times New Roman"/>
          <w:b/>
          <w:bCs/>
          <w:color w:val="000000" w:themeColor="text1"/>
          <w:sz w:val="20"/>
          <w:szCs w:val="20"/>
        </w:rPr>
        <w:t>NÃO INCIDÊNCIA DE CONTRIBUIÇÕES PREVIDENCIÁRIAS SOBRE PARCELAS NÃO INCORPORÁVEIS À APOSENTADORIA</w:t>
      </w:r>
      <w:r>
        <w:rPr>
          <w:rFonts w:ascii="Times New Roman" w:eastAsia="Times New Roman" w:hAnsi="Times New Roman"/>
          <w:color w:val="000000" w:themeColor="text1"/>
          <w:sz w:val="20"/>
          <w:szCs w:val="20"/>
        </w:rPr>
        <w:t>.</w:t>
      </w:r>
      <w:r>
        <w:rPr>
          <w:rFonts w:ascii="Times New Roman" w:eastAsia="Times New Roman" w:hAnsi="Times New Roman"/>
          <w:color w:val="000000" w:themeColor="text1"/>
        </w:rPr>
        <w:t xml:space="preserve"> (...)</w:t>
      </w:r>
    </w:p>
    <w:p w14:paraId="6559C433"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b/>
          <w:bCs/>
          <w:color w:val="000000" w:themeColor="text1"/>
        </w:rPr>
        <w:t xml:space="preserve">3. Ademais, a dimensão contributiva do sistema é incompatível com a cobrança de contribuição previdenciária sem que se confira ao segurado qualquer benefício, efetivo ou potencial. </w:t>
      </w:r>
    </w:p>
    <w:p w14:paraId="3FC8B404"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4. Por fim, não é possível invocar o princípio da solidariedade para inovar no tocante à regra que estabelece a base econômica do tributo. </w:t>
      </w:r>
    </w:p>
    <w:p w14:paraId="11AECEFA"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5. À luz das premissas estabelecidas, é fixada em repercussão geral a seguinte </w:t>
      </w:r>
      <w:r>
        <w:rPr>
          <w:rFonts w:ascii="Times New Roman" w:eastAsia="Times New Roman" w:hAnsi="Times New Roman"/>
          <w:b/>
          <w:bCs/>
          <w:color w:val="000000" w:themeColor="text1"/>
        </w:rPr>
        <w:t>tese</w:t>
      </w:r>
      <w:r>
        <w:rPr>
          <w:rFonts w:ascii="Times New Roman" w:eastAsia="Times New Roman" w:hAnsi="Times New Roman"/>
          <w:color w:val="000000" w:themeColor="text1"/>
        </w:rPr>
        <w:t xml:space="preserve">: </w:t>
      </w:r>
      <w:r>
        <w:rPr>
          <w:rFonts w:ascii="Times New Roman" w:eastAsia="Times New Roman" w:hAnsi="Times New Roman"/>
          <w:i/>
          <w:iCs/>
          <w:color w:val="000000" w:themeColor="text1"/>
        </w:rPr>
        <w:t>“</w:t>
      </w:r>
      <w:r>
        <w:rPr>
          <w:rFonts w:ascii="Times New Roman" w:eastAsia="Times New Roman" w:hAnsi="Times New Roman"/>
          <w:b/>
          <w:bCs/>
          <w:i/>
          <w:iCs/>
          <w:color w:val="000000" w:themeColor="text1"/>
        </w:rPr>
        <w:t xml:space="preserve">Não incide contribuição previdenciária sobre verba não incorporável aos proventos de aposentadoria do servidor público, tais como ‘terço de férias’, ‘serviços extraordinários’, ‘adicional noturno’ e ‘adicional de </w:t>
      </w:r>
      <w:proofErr w:type="gramStart"/>
      <w:r>
        <w:rPr>
          <w:rFonts w:ascii="Times New Roman" w:eastAsia="Times New Roman" w:hAnsi="Times New Roman"/>
          <w:b/>
          <w:bCs/>
          <w:i/>
          <w:iCs/>
          <w:color w:val="000000" w:themeColor="text1"/>
        </w:rPr>
        <w:t>insalubridade</w:t>
      </w:r>
      <w:r>
        <w:rPr>
          <w:rFonts w:ascii="Times New Roman" w:eastAsia="Times New Roman" w:hAnsi="Times New Roman"/>
          <w:color w:val="000000" w:themeColor="text1"/>
        </w:rPr>
        <w:t>.”</w:t>
      </w:r>
      <w:proofErr w:type="gramEnd"/>
      <w:r>
        <w:rPr>
          <w:rFonts w:ascii="Times New Roman" w:eastAsia="Times New Roman" w:hAnsi="Times New Roman"/>
          <w:color w:val="000000" w:themeColor="text1"/>
        </w:rPr>
        <w:t xml:space="preserve"> 6. Provimento parcial do recurso extraordinário, para determinar a restituição das parcelas não prescritas. (</w:t>
      </w:r>
      <w:proofErr w:type="gramStart"/>
      <w:r>
        <w:rPr>
          <w:rFonts w:ascii="Times New Roman" w:eastAsia="Times New Roman" w:hAnsi="Times New Roman"/>
          <w:color w:val="000000" w:themeColor="text1"/>
        </w:rPr>
        <w:t>grifou</w:t>
      </w:r>
      <w:proofErr w:type="gramEnd"/>
      <w:r>
        <w:rPr>
          <w:rFonts w:ascii="Times New Roman" w:eastAsia="Times New Roman" w:hAnsi="Times New Roman"/>
          <w:color w:val="000000" w:themeColor="text1"/>
        </w:rPr>
        <w:t>-se)</w:t>
      </w:r>
    </w:p>
    <w:p w14:paraId="7A471845"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147B0BE6"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 xml:space="preserve">Com efeito, </w:t>
      </w:r>
      <w:r>
        <w:rPr>
          <w:rFonts w:ascii="Times New Roman" w:eastAsia="Times New Roman" w:hAnsi="Times New Roman"/>
          <w:b/>
          <w:bCs/>
          <w:color w:val="000000" w:themeColor="text1"/>
          <w:sz w:val="26"/>
          <w:szCs w:val="26"/>
        </w:rPr>
        <w:t>se houve a incidência de contribuição previdenciária sobre ambas as parcelas, deve haver a incorporação aos proventos de aposentadoria</w:t>
      </w:r>
      <w:r>
        <w:rPr>
          <w:rFonts w:ascii="Times New Roman" w:eastAsia="Times New Roman" w:hAnsi="Times New Roman"/>
          <w:color w:val="000000" w:themeColor="text1"/>
          <w:sz w:val="26"/>
          <w:szCs w:val="26"/>
        </w:rPr>
        <w:t>,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14:paraId="4F8441B5"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1FD99DB7" w14:textId="77777777" w:rsidR="00AB2576" w:rsidRDefault="00AB2576" w:rsidP="00AB2576">
      <w:pPr>
        <w:spacing w:after="0" w:line="240" w:lineRule="auto"/>
        <w:ind w:left="1701"/>
        <w:jc w:val="both"/>
        <w:rPr>
          <w:rFonts w:ascii="Times New Roman" w:eastAsia="Times New Roman" w:hAnsi="Times New Roman"/>
          <w:color w:val="000000" w:themeColor="text1"/>
        </w:rPr>
      </w:pPr>
      <w:proofErr w:type="gramStart"/>
      <w:r>
        <w:rPr>
          <w:rFonts w:ascii="Times New Roman" w:eastAsia="Times New Roman" w:hAnsi="Times New Roman"/>
          <w:color w:val="000000" w:themeColor="text1"/>
        </w:rPr>
        <w:t>(...) Assim</w:t>
      </w:r>
      <w:proofErr w:type="gramEnd"/>
      <w:r>
        <w:rPr>
          <w:rFonts w:ascii="Times New Roman" w:eastAsia="Times New Roman" w:hAnsi="Times New Roman"/>
          <w:color w:val="000000" w:themeColor="text1"/>
        </w:rPr>
        <w:t xml:space="preserve">, o caráter solidário do sistema afasta a existência de uma simetria perfeita entre contribuição e benefício (como em um </w:t>
      </w:r>
      <w:proofErr w:type="spellStart"/>
      <w:r>
        <w:rPr>
          <w:rFonts w:ascii="Times New Roman" w:eastAsia="Times New Roman" w:hAnsi="Times New Roman"/>
          <w:color w:val="000000" w:themeColor="text1"/>
        </w:rPr>
        <w:t>sinalagma</w:t>
      </w:r>
      <w:proofErr w:type="spellEnd"/>
      <w:r>
        <w:rPr>
          <w:rFonts w:ascii="Times New Roman" w:eastAsia="Times New Roman" w:hAnsi="Times New Roman"/>
          <w:color w:val="000000" w:themeColor="text1"/>
        </w:rPr>
        <w:t xml:space="preserve">), enquanto a natureza contributiva </w:t>
      </w:r>
      <w:r>
        <w:rPr>
          <w:rFonts w:ascii="Times New Roman" w:eastAsia="Times New Roman" w:hAnsi="Times New Roman"/>
          <w:b/>
          <w:bCs/>
          <w:color w:val="000000" w:themeColor="text1"/>
        </w:rPr>
        <w:t xml:space="preserve">impede a cobrança de contribuição previdenciária sem que se confira ao segurado qualquer contraprestação, efetiva ou potencial </w:t>
      </w:r>
      <w:r>
        <w:rPr>
          <w:rFonts w:ascii="Times New Roman" w:eastAsia="Times New Roman" w:hAnsi="Times New Roman"/>
          <w:color w:val="000000" w:themeColor="text1"/>
        </w:rPr>
        <w:t>(grifou-se)</w:t>
      </w:r>
    </w:p>
    <w:p w14:paraId="7A842A9A"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3B634DD5"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r>
        <w:rPr>
          <w:rStyle w:val="Refdenotaderodap"/>
          <w:rFonts w:ascii="Times New Roman" w:eastAsia="Times New Roman" w:hAnsi="Times New Roman"/>
          <w:color w:val="000000" w:themeColor="text1"/>
          <w:sz w:val="26"/>
          <w:szCs w:val="26"/>
        </w:rPr>
        <w:footnoteReference w:id="16"/>
      </w:r>
      <w:r>
        <w:rPr>
          <w:rFonts w:ascii="Times New Roman" w:eastAsia="Times New Roman" w:hAnsi="Times New Roman"/>
          <w:color w:val="000000" w:themeColor="text1"/>
          <w:sz w:val="26"/>
          <w:szCs w:val="26"/>
        </w:rPr>
        <w:t>:</w:t>
      </w:r>
    </w:p>
    <w:p w14:paraId="6BADAFD4"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013F54DA"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 23. É que a aludida parcela de VPNI, </w:t>
      </w:r>
      <w:r>
        <w:rPr>
          <w:rFonts w:ascii="Times New Roman" w:eastAsia="Times New Roman" w:hAnsi="Times New Roman"/>
          <w:b/>
          <w:bCs/>
          <w:color w:val="000000" w:themeColor="text1"/>
        </w:rPr>
        <w:t>diferentemente das funções comissionadas (de natureza transitória, somente percebida durante o exercício da função), se incorpora definitivamente ao patrimônio do servidor, compondo, em razão disso, os proventos da sua aposentadoria ou da pensão por ele instituída, no caso de morte</w:t>
      </w:r>
      <w:r>
        <w:rPr>
          <w:rFonts w:ascii="Times New Roman" w:eastAsia="Times New Roman" w:hAnsi="Times New Roman"/>
          <w:color w:val="000000" w:themeColor="text1"/>
        </w:rPr>
        <w:t xml:space="preserve">. Portanto, sobre tal parcela é devida a contribuição previdenciária, quer na vigência das Emendas Constitucionais </w:t>
      </w:r>
      <w:proofErr w:type="spellStart"/>
      <w:r>
        <w:rPr>
          <w:rFonts w:ascii="Times New Roman" w:eastAsia="Times New Roman" w:hAnsi="Times New Roman"/>
          <w:color w:val="000000" w:themeColor="text1"/>
        </w:rPr>
        <w:t>ns</w:t>
      </w:r>
      <w:proofErr w:type="spellEnd"/>
      <w:r>
        <w:rPr>
          <w:rFonts w:ascii="Times New Roman" w:eastAsia="Times New Roman" w:hAnsi="Times New Roman"/>
          <w:color w:val="000000" w:themeColor="text1"/>
        </w:rPr>
        <w:t>. 20/1998 e 41/2003, quer antes dessas Emendas Constitucionais. (...)</w:t>
      </w:r>
    </w:p>
    <w:p w14:paraId="75A6D3FB"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34. </w:t>
      </w:r>
      <w:proofErr w:type="gramStart"/>
      <w:r>
        <w:rPr>
          <w:rFonts w:ascii="Times New Roman" w:eastAsia="Times New Roman" w:hAnsi="Times New Roman"/>
          <w:color w:val="000000" w:themeColor="text1"/>
        </w:rPr>
        <w:t>(...) Ou</w:t>
      </w:r>
      <w:proofErr w:type="gramEnd"/>
      <w:r>
        <w:rPr>
          <w:rFonts w:ascii="Times New Roman" w:eastAsia="Times New Roman" w:hAnsi="Times New Roman"/>
          <w:color w:val="000000" w:themeColor="text1"/>
        </w:rPr>
        <w:t xml:space="preserve">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14:paraId="1C1F4B82"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(Processo 021.314/2007-1. Plenário do Tribunal de Contas da União, Acórdão 1.286/2008, Rel. Min. Marcos </w:t>
      </w:r>
      <w:proofErr w:type="spellStart"/>
      <w:r>
        <w:rPr>
          <w:rFonts w:ascii="Times New Roman" w:eastAsia="Times New Roman" w:hAnsi="Times New Roman"/>
          <w:color w:val="000000" w:themeColor="text1"/>
        </w:rPr>
        <w:t>Bemquerer</w:t>
      </w:r>
      <w:proofErr w:type="spellEnd"/>
      <w:r>
        <w:rPr>
          <w:rFonts w:ascii="Times New Roman" w:eastAsia="Times New Roman" w:hAnsi="Times New Roman"/>
          <w:color w:val="000000" w:themeColor="text1"/>
        </w:rPr>
        <w:t xml:space="preserve"> Costa, j. 02/07/2008)</w:t>
      </w:r>
    </w:p>
    <w:p w14:paraId="77A07AE3"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62974D4D"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Dessa forma, a contribuição efetivada sobre a VPNI, durante duas décadas, exige sua incorporação à aposentadoria e a manutenção do seu pagamento. O mesmo se dá por força do artigo 16 da Lei 11.416/2006 (que prevê a GAE), sob o enfoque do previsto no artigo 28 da mesma lei (que prevê sua incorporação na </w:t>
      </w:r>
      <w:r>
        <w:rPr>
          <w:rFonts w:ascii="Times New Roman" w:eastAsia="Times New Roman" w:hAnsi="Times New Roman"/>
          <w:color w:val="000000" w:themeColor="text1"/>
          <w:sz w:val="26"/>
          <w:szCs w:val="26"/>
        </w:rPr>
        <w:lastRenderedPageBreak/>
        <w:t>aposentadoria), e ainda o disposto no artigo 4º, do Anexo II, da Portaria Conjunta nº 1/2007 (Anexo, que prevê contribuição previdenciária sobre a GAE e sua incorporação).</w:t>
      </w:r>
    </w:p>
    <w:p w14:paraId="617D601B"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21DCE38C" w14:textId="5C09BD78" w:rsidR="00AB2576" w:rsidRDefault="00AB2576"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2.9. </w:t>
      </w:r>
      <w:r>
        <w:rPr>
          <w:rFonts w:ascii="Times New Roman" w:eastAsia="Times New Roman" w:hAnsi="Times New Roman"/>
          <w:b/>
          <w:bCs/>
          <w:color w:val="000000" w:themeColor="text1"/>
          <w:sz w:val="26"/>
          <w:szCs w:val="26"/>
          <w:u w:val="single"/>
        </w:rPr>
        <w:t>Da parcela compensatória: vedação à retroatividade e absorção por reajustes futuros – LINDB e posicionamento anterior do TCU</w:t>
      </w:r>
    </w:p>
    <w:p w14:paraId="32122F60"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7EB05495"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Ainda que não se reconheça a decadência administrativa ou a legalidade da cumulação da GAE com a VPNI de quintos, deve ser levada em consideração a </w:t>
      </w:r>
      <w:r>
        <w:rPr>
          <w:rFonts w:ascii="Times New Roman" w:eastAsia="Times New Roman" w:hAnsi="Times New Roman"/>
          <w:b/>
          <w:bCs/>
          <w:color w:val="000000" w:themeColor="text1"/>
          <w:sz w:val="26"/>
          <w:szCs w:val="26"/>
        </w:rPr>
        <w:t xml:space="preserve">parcela compensatória </w:t>
      </w:r>
      <w:r>
        <w:rPr>
          <w:rFonts w:ascii="Times New Roman" w:eastAsia="Times New Roman" w:hAnsi="Times New Roman"/>
          <w:color w:val="000000" w:themeColor="text1"/>
          <w:sz w:val="26"/>
          <w:szCs w:val="26"/>
        </w:rPr>
        <w:t>instituída</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 xml:space="preserve">como modo de procedimento do próprio Tribunal de Contas da União, para privilegiar a boa-fé dos servidores que a recebem. </w:t>
      </w:r>
    </w:p>
    <w:p w14:paraId="4DA9C8BF"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05872188"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Note-se que, para além da evidente violação à decadência prevista no artigo 54 da Lei 9.784/99, a pretensão de efeitos imediatos do Acórdão 2784/2016/TCU-Plenário afronta artigos da Lei de Introdução às Normas do Direito Brasileiro (LINDB), criadas pela</w:t>
      </w:r>
      <w:r>
        <w:rPr>
          <w:rFonts w:cs="Calibri"/>
          <w:color w:val="000000" w:themeColor="text1"/>
        </w:rPr>
        <w:t xml:space="preserve"> </w:t>
      </w:r>
      <w:r>
        <w:rPr>
          <w:rFonts w:ascii="Times New Roman" w:eastAsia="Times New Roman" w:hAnsi="Times New Roman"/>
          <w:color w:val="000000" w:themeColor="text1"/>
          <w:sz w:val="26"/>
          <w:szCs w:val="26"/>
        </w:rPr>
        <w:t xml:space="preserve">Lei 13.655/2018, especialmente para a situação em análise. </w:t>
      </w:r>
    </w:p>
    <w:p w14:paraId="2C1DFF3A"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15D51CFA"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Curiosamente, em situações análogas – envolvendo servidores do seu quadro - o TCU usa a LINDB como referência para estabelecer compensação com reajustes futuros (e sem retroatividade), privilegiando a segurança-jurídica a boa-fé dos servidores que recebem parcelas com suposto vício de ilegalidade. Um exemplo é o </w:t>
      </w:r>
      <w:r>
        <w:rPr>
          <w:rFonts w:ascii="Times New Roman" w:eastAsia="Times New Roman" w:hAnsi="Times New Roman"/>
          <w:b/>
          <w:bCs/>
          <w:color w:val="000000" w:themeColor="text1"/>
          <w:sz w:val="26"/>
          <w:szCs w:val="26"/>
          <w:u w:val="single"/>
        </w:rPr>
        <w:t>Acórdão nº 2988/2018/TCU-Plenário</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(anexo), do qual se destacam os seguintes trechos:</w:t>
      </w:r>
    </w:p>
    <w:p w14:paraId="2BC5728C"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50C82286" w14:textId="77777777" w:rsidR="00AB2576" w:rsidRDefault="00AB2576" w:rsidP="00AB2576">
      <w:pPr>
        <w:spacing w:after="0" w:line="240" w:lineRule="auto"/>
        <w:ind w:left="1701" w:right="15"/>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132. </w:t>
      </w:r>
      <w:r>
        <w:rPr>
          <w:rFonts w:ascii="Times New Roman" w:eastAsia="Times New Roman" w:hAnsi="Times New Roman"/>
          <w:b/>
          <w:bCs/>
          <w:color w:val="000000" w:themeColor="text1"/>
        </w:rPr>
        <w:t>Em respeito ao princípio da segurança jurídica, proponho que seja 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vantagem prevista no art. 62-A da Lei 8.112/90</w:t>
      </w:r>
      <w:r>
        <w:rPr>
          <w:rFonts w:ascii="Times New Roman" w:eastAsia="Times New Roman" w:hAnsi="Times New Roman"/>
          <w:color w:val="000000" w:themeColor="text1"/>
        </w:rPr>
        <w:t xml:space="preserve">. (...) 3. Diante disso, em seu voto revisor, o ministro Benjamin </w:t>
      </w:r>
      <w:proofErr w:type="spellStart"/>
      <w:r>
        <w:rPr>
          <w:rFonts w:ascii="Times New Roman" w:eastAsia="Times New Roman" w:hAnsi="Times New Roman"/>
          <w:color w:val="000000" w:themeColor="text1"/>
        </w:rPr>
        <w:t>Zymler</w:t>
      </w:r>
      <w:proofErr w:type="spellEnd"/>
      <w:r>
        <w:rPr>
          <w:rFonts w:ascii="Times New Roman" w:eastAsia="Times New Roman" w:hAnsi="Times New Roman"/>
          <w:color w:val="000000" w:themeColor="text1"/>
        </w:rPr>
        <w:t xml:space="preserve">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servidores, que vêm recebendo os valores da “opção” de boa-fé venham a sofrer uma redução imediata de seus estipêndios, mas não perpetua a irregularidade dos pagamentos. </w:t>
      </w:r>
      <w:r>
        <w:rPr>
          <w:rFonts w:ascii="Times New Roman" w:eastAsia="Times New Roman" w:hAnsi="Times New Roman"/>
          <w:b/>
          <w:bCs/>
          <w:color w:val="000000" w:themeColor="text1"/>
        </w:rPr>
        <w:t>Uma vez que existe uma relação de trato sucessivo, as alterações futuras da estrutura remuneratória deverão absorver o pagamento da parcela considerada irregular</w:t>
      </w:r>
      <w:r>
        <w:rPr>
          <w:rFonts w:ascii="Times New Roman" w:eastAsia="Times New Roman" w:hAnsi="Times New Roman"/>
          <w:color w:val="000000" w:themeColor="text1"/>
        </w:rPr>
        <w:t xml:space="preserve">. 30. Assim, a modulação proposta busca evitar um impacto imediato nos proventos dos servidores, sem, contudo, perpetuar a </w:t>
      </w:r>
      <w:r>
        <w:rPr>
          <w:rFonts w:ascii="Times New Roman" w:eastAsia="Times New Roman" w:hAnsi="Times New Roman"/>
          <w:color w:val="000000" w:themeColor="text1"/>
        </w:rPr>
        <w:lastRenderedPageBreak/>
        <w:t xml:space="preserve">ilegalidade que vem sendo cometida, em perfeita consonância com a LINDB e o Decreto-lei 200/1967” (Plenário do Tribunal de Contas da União Acórdão 2.988/2018 Relator: Ministro Benjamin </w:t>
      </w:r>
      <w:proofErr w:type="spellStart"/>
      <w:r>
        <w:rPr>
          <w:rFonts w:ascii="Times New Roman" w:eastAsia="Times New Roman" w:hAnsi="Times New Roman"/>
          <w:color w:val="000000" w:themeColor="text1"/>
        </w:rPr>
        <w:t>Zymler</w:t>
      </w:r>
      <w:proofErr w:type="spellEnd"/>
      <w:r>
        <w:rPr>
          <w:rFonts w:ascii="Times New Roman" w:eastAsia="Times New Roman" w:hAnsi="Times New Roman"/>
          <w:color w:val="000000" w:themeColor="text1"/>
        </w:rPr>
        <w:t>, julgado em 12.12.2018)</w:t>
      </w:r>
    </w:p>
    <w:p w14:paraId="28E15B54"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6879678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Pr>
          <w:rFonts w:ascii="Times New Roman" w:eastAsia="Times New Roman" w:hAnsi="Times New Roman"/>
          <w:b/>
          <w:bCs/>
          <w:color w:val="000000" w:themeColor="text1"/>
          <w:sz w:val="26"/>
          <w:szCs w:val="26"/>
        </w:rPr>
        <w:t>absorvida pelos reajustes remuneratórios futuros</w:t>
      </w:r>
      <w:r>
        <w:rPr>
          <w:rFonts w:ascii="Times New Roman" w:eastAsia="Times New Roman" w:hAnsi="Times New Roman"/>
          <w:color w:val="000000" w:themeColor="text1"/>
          <w:sz w:val="26"/>
          <w:szCs w:val="26"/>
        </w:rPr>
        <w:t>.</w:t>
      </w:r>
    </w:p>
    <w:p w14:paraId="148580DC"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60AD311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Como se verifica do mencionado acórdão, o Tribunal de Contas da União, no que se refere a servidores do seu quadro de pessoal, observou a segurança jurídica e </w:t>
      </w:r>
      <w:r>
        <w:rPr>
          <w:rFonts w:ascii="Times New Roman" w:eastAsia="Times New Roman" w:hAnsi="Times New Roman"/>
          <w:b/>
          <w:bCs/>
          <w:color w:val="000000" w:themeColor="text1"/>
          <w:sz w:val="26"/>
          <w:szCs w:val="26"/>
        </w:rPr>
        <w:t>somente determinou absorção da parcela pelos reajustes vindouros</w:t>
      </w:r>
      <w:r>
        <w:rPr>
          <w:rFonts w:ascii="Times New Roman" w:eastAsia="Times New Roman" w:hAnsi="Times New Roman"/>
          <w:color w:val="000000" w:themeColor="text1"/>
          <w:sz w:val="26"/>
          <w:szCs w:val="26"/>
        </w:rPr>
        <w:t>, como não poderia deixar de ser, já que há impropriedade na pretensão de retroagir entendimento para haver compensação com reajustes pretéritos.</w:t>
      </w:r>
    </w:p>
    <w:p w14:paraId="6F412FE5"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32D75DA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Contudo, no que tange aos Oficiais de Justiça Avaliadores Federais, o entendimento é diverso e mais gravoso, tendo a Corte orientado os tribunais regionais a </w:t>
      </w:r>
      <w:r>
        <w:rPr>
          <w:rFonts w:ascii="Times New Roman" w:eastAsia="Times New Roman" w:hAnsi="Times New Roman"/>
          <w:b/>
          <w:bCs/>
          <w:color w:val="000000" w:themeColor="text1"/>
          <w:sz w:val="26"/>
          <w:szCs w:val="26"/>
        </w:rPr>
        <w:t>implementarem a absorção de forma retroativa</w:t>
      </w:r>
      <w:r>
        <w:rPr>
          <w:rFonts w:ascii="Times New Roman" w:eastAsia="Times New Roman" w:hAnsi="Times New Roman"/>
          <w:color w:val="000000" w:themeColor="text1"/>
          <w:sz w:val="26"/>
          <w:szCs w:val="26"/>
        </w:rPr>
        <w:t>, conforme sugere o novo procedimento de apuração:</w:t>
      </w:r>
    </w:p>
    <w:p w14:paraId="0B309415"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61AD96E2" w14:textId="77777777" w:rsidR="00AB2576" w:rsidRDefault="00AB2576" w:rsidP="00AB2576">
      <w:pPr>
        <w:spacing w:after="0" w:line="240" w:lineRule="auto"/>
        <w:ind w:left="1695"/>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Pr>
          <w:rFonts w:ascii="Times New Roman" w:eastAsia="Times New Roman" w:hAnsi="Times New Roman"/>
          <w:b/>
          <w:bCs/>
          <w:color w:val="000000" w:themeColor="text1"/>
        </w:rPr>
        <w:t>a ser absorvida por ocasião</w:t>
      </w:r>
      <w:r>
        <w:rPr>
          <w:rFonts w:ascii="Times New Roman" w:eastAsia="Times New Roman" w:hAnsi="Times New Roman"/>
          <w:color w:val="000000" w:themeColor="text1"/>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Pr>
          <w:rFonts w:ascii="Times New Roman" w:eastAsia="Times New Roman" w:hAnsi="Times New Roman"/>
          <w:b/>
          <w:bCs/>
          <w:color w:val="000000" w:themeColor="text1"/>
        </w:rPr>
        <w:t>A compensação deve retroagir aos últimos 5 anos, em observância à decadência administrativa. Eventuais aumentos salariais ocorridos nesse período devem promover a correspondente redução das referidas parcelas irregulares, até a sua completa extinção</w:t>
      </w:r>
      <w:r>
        <w:rPr>
          <w:rFonts w:ascii="Times New Roman" w:eastAsia="Times New Roman" w:hAnsi="Times New Roman"/>
          <w:color w:val="000000" w:themeColor="text1"/>
        </w:rPr>
        <w:t>. (</w:t>
      </w:r>
      <w:proofErr w:type="gramStart"/>
      <w:r>
        <w:rPr>
          <w:rFonts w:ascii="Times New Roman" w:eastAsia="Times New Roman" w:hAnsi="Times New Roman"/>
          <w:color w:val="000000" w:themeColor="text1"/>
        </w:rPr>
        <w:t>grifou</w:t>
      </w:r>
      <w:proofErr w:type="gramEnd"/>
      <w:r>
        <w:rPr>
          <w:rFonts w:ascii="Times New Roman" w:eastAsia="Times New Roman" w:hAnsi="Times New Roman"/>
          <w:color w:val="000000" w:themeColor="text1"/>
        </w:rPr>
        <w:t>-se)</w:t>
      </w:r>
    </w:p>
    <w:p w14:paraId="5B82513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3172812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Ora, ao criar esse novo entendimento da parcela compensatória, o TCU determinou que a compensação deve retroagir 5 (cinco) anos abarcando os reajustes anteriores, violando, além da isonomia com os demais servidores (já que para o seu quadro de pessoal a compensação é futura), o artigo 24 da Lei de Introdução às normas de Direito Brasileiro – LINDB, </w:t>
      </w:r>
      <w:r>
        <w:rPr>
          <w:rFonts w:ascii="Times New Roman" w:eastAsia="Times New Roman" w:hAnsi="Times New Roman"/>
          <w:b/>
          <w:bCs/>
          <w:color w:val="000000" w:themeColor="text1"/>
          <w:sz w:val="26"/>
          <w:szCs w:val="26"/>
        </w:rPr>
        <w:t>pois não é possível a aplicação de revisão controladora em que se considera ilegal situação plenamente constituída</w:t>
      </w:r>
      <w:r>
        <w:rPr>
          <w:rFonts w:ascii="Times New Roman" w:eastAsia="Times New Roman" w:hAnsi="Times New Roman"/>
          <w:color w:val="000000" w:themeColor="text1"/>
          <w:sz w:val="26"/>
          <w:szCs w:val="26"/>
        </w:rPr>
        <w:t>:</w:t>
      </w:r>
    </w:p>
    <w:p w14:paraId="10D1644D"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4C019B1D" w14:textId="77777777" w:rsidR="00AB2576" w:rsidRDefault="00AB2576" w:rsidP="00AB2576">
      <w:pPr>
        <w:spacing w:after="0" w:line="240" w:lineRule="auto"/>
        <w:ind w:left="1695"/>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Art. 24.  </w:t>
      </w:r>
      <w:r>
        <w:rPr>
          <w:rFonts w:ascii="Times New Roman" w:eastAsia="Times New Roman" w:hAnsi="Times New Roman"/>
          <w:b/>
          <w:bCs/>
          <w:color w:val="000000" w:themeColor="text1"/>
        </w:rPr>
        <w:t xml:space="preserve">A revisão, nas esferas administrativa, controladora </w:t>
      </w:r>
      <w:r>
        <w:rPr>
          <w:rFonts w:ascii="Times New Roman" w:eastAsia="Times New Roman" w:hAnsi="Times New Roman"/>
          <w:color w:val="000000" w:themeColor="text1"/>
        </w:rPr>
        <w:t xml:space="preserve">ou judicial, quanto à validade de ato, contrato, ajuste, processo ou norma administrativa cuja produção já se houver completado levará em conta as orientações gerais da época, </w:t>
      </w:r>
      <w:r>
        <w:rPr>
          <w:rFonts w:ascii="Times New Roman" w:eastAsia="Times New Roman" w:hAnsi="Times New Roman"/>
          <w:b/>
          <w:bCs/>
          <w:color w:val="000000" w:themeColor="text1"/>
        </w:rPr>
        <w:t xml:space="preserve">sendo vedado que, com base em mudança posterior de orientação geral, se declarem inválidas situações plenamente constituídas. </w:t>
      </w:r>
      <w:r>
        <w:rPr>
          <w:rFonts w:ascii="Times New Roman" w:eastAsia="Times New Roman" w:hAnsi="Times New Roman"/>
          <w:color w:val="000000" w:themeColor="text1"/>
        </w:rPr>
        <w:t>(</w:t>
      </w:r>
      <w:proofErr w:type="gramStart"/>
      <w:r>
        <w:rPr>
          <w:rFonts w:ascii="Times New Roman" w:eastAsia="Times New Roman" w:hAnsi="Times New Roman"/>
          <w:color w:val="000000" w:themeColor="text1"/>
        </w:rPr>
        <w:t>grifou</w:t>
      </w:r>
      <w:proofErr w:type="gramEnd"/>
      <w:r>
        <w:rPr>
          <w:rFonts w:ascii="Times New Roman" w:eastAsia="Times New Roman" w:hAnsi="Times New Roman"/>
          <w:color w:val="000000" w:themeColor="text1"/>
        </w:rPr>
        <w:t>-se)</w:t>
      </w:r>
    </w:p>
    <w:p w14:paraId="74A889C3"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00BA0311"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Também é violado o artigo 23 da referida norma, pois o corte abrupto aplica nova interpretação sem prever qualquer regime de transição ou proteger aqueles que já haviam preenchido os requisitos para percepção das parcelas:</w:t>
      </w:r>
    </w:p>
    <w:p w14:paraId="7B14552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561398ED"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14:paraId="48DEA6B8"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20AECCE5"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Dessa forma, não pode o Tribunal de Contas </w:t>
      </w:r>
      <w:proofErr w:type="gramStart"/>
      <w:r>
        <w:rPr>
          <w:rFonts w:ascii="Times New Roman" w:eastAsia="Times New Roman" w:hAnsi="Times New Roman"/>
          <w:color w:val="000000" w:themeColor="text1"/>
          <w:sz w:val="26"/>
          <w:szCs w:val="26"/>
        </w:rPr>
        <w:t>da</w:t>
      </w:r>
      <w:proofErr w:type="gramEnd"/>
      <w:r>
        <w:rPr>
          <w:rFonts w:ascii="Times New Roman" w:eastAsia="Times New Roman" w:hAnsi="Times New Roman"/>
          <w:color w:val="000000" w:themeColor="text1"/>
          <w:sz w:val="26"/>
          <w:szCs w:val="26"/>
        </w:rPr>
        <w:t xml:space="preserve">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14:paraId="6CF71DD1"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5F3FD6B5"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 impossibilidade de os efeitos retroagirem também se coaduna com o recente julgamento dos Embargos de Declaração no Recurso Extraordinário nº 638.115, no qual o Supremo entendeu ser indevida a cessação imediata do pagamento de quintos, garantindo a modulação a fim de que a parcela seja mantida até a absorção por reajustes futuros:</w:t>
      </w:r>
    </w:p>
    <w:p w14:paraId="2F1CBA4B" w14:textId="77777777" w:rsidR="00AB2576" w:rsidRDefault="00AB2576" w:rsidP="00AB2576">
      <w:pPr>
        <w:spacing w:after="0" w:line="240" w:lineRule="auto"/>
        <w:ind w:right="15" w:firstLine="1701"/>
        <w:jc w:val="both"/>
        <w:rPr>
          <w:rFonts w:ascii="Times New Roman" w:eastAsia="Times New Roman" w:hAnsi="Times New Roman"/>
          <w:color w:val="000000" w:themeColor="text1"/>
          <w:sz w:val="26"/>
          <w:szCs w:val="26"/>
        </w:rPr>
      </w:pPr>
    </w:p>
    <w:p w14:paraId="7C238F3B"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O Tribunal, por maioria, acolheu parcialmente os embargos de declaração, com efeitos infringentes, para reconhecer indevida a cessação imediata do pagamento dos quintos quando fundado em decisão judicial transitada em julgado, vencida a Ministra Rosa Weber, que rejeitava os embargos. No ponto relativo ao </w:t>
      </w:r>
      <w:r>
        <w:rPr>
          <w:rFonts w:ascii="Times New Roman" w:eastAsia="Times New Roman" w:hAnsi="Times New Roman"/>
          <w:b/>
          <w:bCs/>
          <w:color w:val="000000" w:themeColor="text1"/>
        </w:rPr>
        <w:t>recebimento dos quintos em virtude de decisões administrativas</w:t>
      </w:r>
      <w:r>
        <w:rPr>
          <w:rFonts w:ascii="Times New Roman" w:eastAsia="Times New Roman" w:hAnsi="Times New Roman"/>
          <w:color w:val="000000" w:themeColor="text1"/>
        </w:rPr>
        <w:t xml:space="preserve">, o Tribunal, em razão de voto médio, rejeitou os embargos e, reconhecendo a ilegitimidade do pagamento dos quintos, </w:t>
      </w:r>
      <w:r>
        <w:rPr>
          <w:rFonts w:ascii="Times New Roman" w:eastAsia="Times New Roman" w:hAnsi="Times New Roman"/>
          <w:b/>
          <w:bCs/>
          <w:color w:val="000000" w:themeColor="text1"/>
        </w:rPr>
        <w:t xml:space="preserve">modulou os efeitos da decisão de modo que aqueles que continuam recebendo até a presente data em razão de decisão administrativa tenham o pagamento mantido até sua absorção integral por quaisquer reajustes futuros concedidos aos servidores. </w:t>
      </w:r>
      <w:r>
        <w:rPr>
          <w:rFonts w:ascii="Times New Roman" w:eastAsia="Times New Roman" w:hAnsi="Times New Roman"/>
          <w:color w:val="000000" w:themeColor="text1"/>
        </w:rPr>
        <w:t xml:space="preserve">Os Ministros Ricardo Lewandowski e Celso de Mello proviam os embargos de declaração e modulavam os efeitos da decisão em maior extensão. Ficaram vencidos, nesse ponto, os Ministros Marco Aurélio e Rosa Weber. Por fim,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vencidos os Ministros Marco Aurélio e Rosa Weber. Tudo nos termos do voto do Relator. Afirmaram suspeição os Ministros Luiz </w:t>
      </w:r>
      <w:proofErr w:type="spellStart"/>
      <w:r>
        <w:rPr>
          <w:rFonts w:ascii="Times New Roman" w:eastAsia="Times New Roman" w:hAnsi="Times New Roman"/>
          <w:color w:val="000000" w:themeColor="text1"/>
        </w:rPr>
        <w:t>Fux</w:t>
      </w:r>
      <w:proofErr w:type="spellEnd"/>
      <w:r>
        <w:rPr>
          <w:rFonts w:ascii="Times New Roman" w:eastAsia="Times New Roman" w:hAnsi="Times New Roman"/>
          <w:color w:val="000000" w:themeColor="text1"/>
        </w:rPr>
        <w:t xml:space="preserve"> e Roberto Barroso. (</w:t>
      </w:r>
      <w:proofErr w:type="gramStart"/>
      <w:r>
        <w:rPr>
          <w:rFonts w:ascii="Times New Roman" w:eastAsia="Times New Roman" w:hAnsi="Times New Roman"/>
          <w:color w:val="000000" w:themeColor="text1"/>
        </w:rPr>
        <w:t>grifou</w:t>
      </w:r>
      <w:proofErr w:type="gramEnd"/>
      <w:r>
        <w:rPr>
          <w:rFonts w:ascii="Times New Roman" w:eastAsia="Times New Roman" w:hAnsi="Times New Roman"/>
          <w:color w:val="000000" w:themeColor="text1"/>
        </w:rPr>
        <w:t>-se)</w:t>
      </w:r>
    </w:p>
    <w:p w14:paraId="7B3ACF47" w14:textId="77777777" w:rsidR="00AB2576" w:rsidRDefault="00AB2576" w:rsidP="00AB2576">
      <w:pPr>
        <w:spacing w:after="0" w:line="240" w:lineRule="auto"/>
        <w:ind w:left="1701"/>
        <w:jc w:val="both"/>
        <w:rPr>
          <w:rFonts w:ascii="Times New Roman" w:eastAsia="Times New Roman" w:hAnsi="Times New Roman"/>
          <w:color w:val="000000" w:themeColor="text1"/>
          <w:sz w:val="26"/>
          <w:szCs w:val="26"/>
        </w:rPr>
      </w:pPr>
    </w:p>
    <w:p w14:paraId="1A2ED8F2"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Conforme se vê, o entendimento é de que as</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decisões judiciais transitadas em julgado antes da publicação do acórdão do RE 638.115 devem manter-se incólumes.</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 xml:space="preserve">O acórdão, inclusive, admitiu a modulação dos efeitos da decisão para </w:t>
      </w:r>
      <w:r>
        <w:rPr>
          <w:rFonts w:ascii="Times New Roman" w:eastAsia="Times New Roman" w:hAnsi="Times New Roman"/>
          <w:color w:val="000000" w:themeColor="text1"/>
          <w:sz w:val="26"/>
          <w:szCs w:val="26"/>
        </w:rPr>
        <w:lastRenderedPageBreak/>
        <w:t>aqueles que continuam recebendo os quintos em razão de decisão administrativa, a fim de que tenham o pagamento mantido</w:t>
      </w:r>
      <w:r>
        <w:rPr>
          <w:rFonts w:ascii="Times New Roman" w:eastAsia="Times New Roman" w:hAnsi="Times New Roman"/>
          <w:b/>
          <w:bCs/>
          <w:color w:val="000000" w:themeColor="text1"/>
          <w:sz w:val="26"/>
          <w:szCs w:val="26"/>
        </w:rPr>
        <w:t xml:space="preserve"> até a sua absorção integral por quaisquer reajustes futuros concedidos</w:t>
      </w:r>
      <w:r>
        <w:rPr>
          <w:rFonts w:ascii="Times New Roman" w:eastAsia="Times New Roman" w:hAnsi="Times New Roman"/>
          <w:color w:val="000000" w:themeColor="text1"/>
          <w:sz w:val="26"/>
          <w:szCs w:val="26"/>
        </w:rPr>
        <w:t>.</w:t>
      </w:r>
    </w:p>
    <w:p w14:paraId="12458306"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0FC03F1F"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futuros, e não pretéritos.</w:t>
      </w:r>
    </w:p>
    <w:p w14:paraId="5D4235BE"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50149DAD"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Além de princípio constitucional, a segurança jurídica constou do artigo 2º da Lei 9.784/99:</w:t>
      </w:r>
    </w:p>
    <w:p w14:paraId="41F1E604"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7811FE11" w14:textId="77777777" w:rsidR="00AB2576" w:rsidRDefault="00AB2576" w:rsidP="00AB2576">
      <w:pPr>
        <w:spacing w:after="0" w:line="240" w:lineRule="auto"/>
        <w:ind w:left="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rPr>
        <w:t>Art. 2º. A Administração Pública obedecerá, dentre outros, aos princípios da legalidade, finalidade, motivação, razoabilidade, proporcionalidade, moralidade, ampla defesa, contraditório, </w:t>
      </w:r>
      <w:r>
        <w:rPr>
          <w:rFonts w:ascii="Times New Roman" w:eastAsia="Times New Roman" w:hAnsi="Times New Roman"/>
          <w:b/>
          <w:bCs/>
          <w:color w:val="000000" w:themeColor="text1"/>
        </w:rPr>
        <w:t>segurança jurídica</w:t>
      </w:r>
      <w:r>
        <w:rPr>
          <w:rFonts w:ascii="Times New Roman" w:eastAsia="Times New Roman" w:hAnsi="Times New Roman"/>
          <w:color w:val="000000" w:themeColor="text1"/>
        </w:rPr>
        <w:t>, interesse público e eficiência.</w:t>
      </w:r>
      <w:r>
        <w:rPr>
          <w:rFonts w:ascii="Times New Roman" w:eastAsia="Times New Roman" w:hAnsi="Times New Roman"/>
          <w:color w:val="000000" w:themeColor="text1"/>
          <w:sz w:val="26"/>
          <w:szCs w:val="26"/>
        </w:rPr>
        <w:t> </w:t>
      </w:r>
    </w:p>
    <w:p w14:paraId="654CD17A"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4F0D2689"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Conforme </w:t>
      </w:r>
      <w:proofErr w:type="spellStart"/>
      <w:r>
        <w:rPr>
          <w:rFonts w:ascii="Times New Roman" w:eastAsia="Times New Roman" w:hAnsi="Times New Roman"/>
          <w:color w:val="000000" w:themeColor="text1"/>
          <w:sz w:val="26"/>
          <w:szCs w:val="26"/>
        </w:rPr>
        <w:t>Canotilho</w:t>
      </w:r>
      <w:proofErr w:type="spellEnd"/>
      <w:r>
        <w:rPr>
          <w:rStyle w:val="Refdenotaderodap"/>
          <w:rFonts w:ascii="Times New Roman" w:eastAsia="Times New Roman" w:hAnsi="Times New Roman"/>
          <w:color w:val="000000" w:themeColor="text1"/>
          <w:sz w:val="26"/>
          <w:szCs w:val="26"/>
        </w:rPr>
        <w:footnoteReference w:id="17"/>
      </w:r>
      <w:r>
        <w:rPr>
          <w:rFonts w:ascii="Times New Roman" w:eastAsia="Times New Roman" w:hAnsi="Times New Roman"/>
          <w:color w:val="000000" w:themeColor="text1"/>
          <w:sz w:val="26"/>
          <w:szCs w:val="26"/>
        </w:rPr>
        <w:t>,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 </w:t>
      </w:r>
    </w:p>
    <w:p w14:paraId="468C4137"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0DAEC6F5"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Isso porque tais atos devem conter “fiabilidade, racionalidade e transparência”, de forma que em relação a eles “o cidadão veja garantida a segurança nas suas disposições pessoais e nos efeitos jurídicos de seus próprios atos”</w:t>
      </w:r>
      <w:r>
        <w:rPr>
          <w:rStyle w:val="Refdenotaderodap"/>
          <w:rFonts w:ascii="Times New Roman" w:eastAsia="Times New Roman" w:hAnsi="Times New Roman"/>
          <w:color w:val="000000" w:themeColor="text1"/>
          <w:sz w:val="26"/>
          <w:szCs w:val="26"/>
        </w:rPr>
        <w:footnoteReference w:id="18"/>
      </w:r>
      <w:r>
        <w:rPr>
          <w:rFonts w:ascii="Times New Roman" w:eastAsia="Times New Roman" w:hAnsi="Times New Roman"/>
          <w:color w:val="000000" w:themeColor="text1"/>
          <w:sz w:val="26"/>
          <w:szCs w:val="26"/>
        </w:rPr>
        <w:t>.</w:t>
      </w:r>
    </w:p>
    <w:p w14:paraId="05134EAB"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50BDA94C"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Reitera-se que a incorporação de quintos ocorreu há 20 (vinte) anos e a implementação da GAE ocorreu há mais de 12 (doze) anos e que, desde então, as parcelas são recebidas de forma cumulativa. Ou seja, há mais de cinco anos estes servidores percebem a GAE cumulada com a VPNI oriunda dos quintos incorporados. </w:t>
      </w:r>
    </w:p>
    <w:p w14:paraId="1714A4C6"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0E020372"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14:paraId="7E4AD2C6"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1784F623"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Entretanto, a Administração viola o princípio da segurança jurídica das relações ao pretender desconstituir situação que perdura há mais de cinco anos, suprimindo parcelas incorporadas à remuneração do servidor. Também macula o mencionado princípio caso se aplique a compensação utilizando-se de reajustes pretéritos, o que é vedado pela legislação.</w:t>
      </w:r>
    </w:p>
    <w:p w14:paraId="62E34819"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4451C771"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do direito, </w:t>
      </w:r>
      <w:r>
        <w:rPr>
          <w:rFonts w:ascii="Times New Roman" w:eastAsia="Times New Roman" w:hAnsi="Times New Roman"/>
          <w:b/>
          <w:bCs/>
          <w:color w:val="000000" w:themeColor="text1"/>
          <w:sz w:val="26"/>
          <w:szCs w:val="26"/>
        </w:rPr>
        <w:t>a Administração pretende aplicar seu novo posicionamento para modificar situação consolidada</w:t>
      </w:r>
      <w:r>
        <w:rPr>
          <w:rFonts w:ascii="Times New Roman" w:eastAsia="Times New Roman" w:hAnsi="Times New Roman"/>
          <w:color w:val="000000" w:themeColor="text1"/>
          <w:sz w:val="26"/>
          <w:szCs w:val="26"/>
        </w:rPr>
        <w:t>, consoante o comando do inciso XIII do parágrafo único do artigo 2º da Lei nº 9.784, de 1999</w:t>
      </w:r>
      <w:r>
        <w:rPr>
          <w:rStyle w:val="Refdenotaderodap"/>
          <w:rFonts w:ascii="Times New Roman" w:eastAsia="Times New Roman" w:hAnsi="Times New Roman"/>
          <w:color w:val="000000" w:themeColor="text1"/>
          <w:sz w:val="26"/>
          <w:szCs w:val="26"/>
        </w:rPr>
        <w:footnoteReference w:id="19"/>
      </w:r>
      <w:r>
        <w:rPr>
          <w:rFonts w:ascii="Times New Roman" w:eastAsia="Times New Roman" w:hAnsi="Times New Roman"/>
          <w:color w:val="000000" w:themeColor="text1"/>
          <w:sz w:val="26"/>
          <w:szCs w:val="26"/>
        </w:rPr>
        <w:t>, que reza:</w:t>
      </w:r>
    </w:p>
    <w:p w14:paraId="105D0428"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5B753EA8" w14:textId="77777777" w:rsidR="00AB2576" w:rsidRDefault="00AB2576" w:rsidP="00AB2576">
      <w:pPr>
        <w:spacing w:after="0" w:line="240" w:lineRule="auto"/>
        <w:ind w:left="1695"/>
        <w:jc w:val="both"/>
        <w:rPr>
          <w:rFonts w:ascii="Times New Roman" w:eastAsia="Times New Roman" w:hAnsi="Times New Roman"/>
          <w:color w:val="000000" w:themeColor="text1"/>
        </w:rPr>
      </w:pPr>
      <w:r>
        <w:rPr>
          <w:rFonts w:ascii="Times New Roman" w:eastAsia="Times New Roman" w:hAnsi="Times New Roman"/>
          <w:color w:val="000000" w:themeColor="text1"/>
        </w:rPr>
        <w:t>Art. 2º. (...) Parágrafo único. Nos processos administrativos serão observados, entre outros, os critérios de: (...) XIII- interpretação da norma administrativa da forma que melhor garanta o atendimento do fim público a que se dirige, </w:t>
      </w:r>
      <w:r>
        <w:rPr>
          <w:rFonts w:ascii="Times New Roman" w:eastAsia="Times New Roman" w:hAnsi="Times New Roman"/>
          <w:b/>
          <w:bCs/>
          <w:color w:val="000000" w:themeColor="text1"/>
        </w:rPr>
        <w:t>vedada a aplicação retroativa de nova interpretação</w:t>
      </w:r>
      <w:r>
        <w:rPr>
          <w:rFonts w:ascii="Times New Roman" w:eastAsia="Times New Roman" w:hAnsi="Times New Roman"/>
          <w:color w:val="000000" w:themeColor="text1"/>
        </w:rPr>
        <w:t>. (</w:t>
      </w:r>
      <w:proofErr w:type="gramStart"/>
      <w:r>
        <w:rPr>
          <w:rFonts w:ascii="Times New Roman" w:eastAsia="Times New Roman" w:hAnsi="Times New Roman"/>
          <w:color w:val="000000" w:themeColor="text1"/>
        </w:rPr>
        <w:t>grifou</w:t>
      </w:r>
      <w:proofErr w:type="gramEnd"/>
      <w:r>
        <w:rPr>
          <w:rFonts w:ascii="Times New Roman" w:eastAsia="Times New Roman" w:hAnsi="Times New Roman"/>
          <w:color w:val="000000" w:themeColor="text1"/>
        </w:rPr>
        <w:t>-se) </w:t>
      </w:r>
    </w:p>
    <w:p w14:paraId="3BF1A1DA"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w:t>
      </w:r>
    </w:p>
    <w:p w14:paraId="3FDAF479"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vertAlign w:val="superscript"/>
        </w:rPr>
      </w:pPr>
      <w:r>
        <w:rPr>
          <w:rFonts w:ascii="Times New Roman" w:eastAsia="Times New Roman" w:hAnsi="Times New Roman"/>
          <w:color w:val="000000" w:themeColor="text1"/>
          <w:sz w:val="26"/>
          <w:szCs w:val="26"/>
        </w:rPr>
        <w:t>Logo, a supressão de GAE ou da VPNI, concedidas com base na legislação regente e há mais de cinco anos, não se coaduna com a garantia da segurança jurídica, extraída do inciso XXXVI artigo 5º da Constituição e expressa no artigo 2º da Lei nº 9.784</w:t>
      </w:r>
      <w:r>
        <w:rPr>
          <w:rStyle w:val="Refdenotaderodap"/>
          <w:rFonts w:ascii="Times New Roman" w:eastAsia="Times New Roman" w:hAnsi="Times New Roman"/>
          <w:color w:val="000000" w:themeColor="text1"/>
          <w:sz w:val="26"/>
          <w:szCs w:val="26"/>
        </w:rPr>
        <w:footnoteReference w:id="20"/>
      </w:r>
      <w:r>
        <w:rPr>
          <w:rFonts w:ascii="Times New Roman" w:eastAsia="Times New Roman" w:hAnsi="Times New Roman"/>
          <w:color w:val="000000" w:themeColor="text1"/>
          <w:sz w:val="26"/>
          <w:szCs w:val="26"/>
        </w:rPr>
        <w:t>.</w:t>
      </w:r>
    </w:p>
    <w:p w14:paraId="4DE19C59"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6337ECBA"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Ademais, apesar de se defender a legalidade da cumulação da GAE com a VPNI, mesmo se esse não for o entendimento, à Administração não cabe suprimir nenhuma das parcelas mediante a absorção considerando reajustes pretéritos.</w:t>
      </w:r>
    </w:p>
    <w:p w14:paraId="00EF1829" w14:textId="3BF4569D" w:rsidR="00AB2576" w:rsidRDefault="00AB2576" w:rsidP="00AB2576">
      <w:pPr>
        <w:spacing w:after="0" w:line="240" w:lineRule="auto"/>
        <w:jc w:val="both"/>
        <w:rPr>
          <w:rFonts w:ascii="Times New Roman" w:hAnsi="Times New Roman" w:cs="Times New Roman"/>
          <w:sz w:val="26"/>
          <w:szCs w:val="26"/>
          <w:lang w:eastAsia="pt-BR"/>
        </w:rPr>
      </w:pPr>
    </w:p>
    <w:p w14:paraId="78BF9BC2" w14:textId="77777777" w:rsidR="00AB2576" w:rsidRDefault="00AB2576" w:rsidP="00AB2576">
      <w:pPr>
        <w:spacing w:after="0" w:line="240" w:lineRule="auto"/>
        <w:ind w:left="284" w:hanging="284"/>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3. </w:t>
      </w:r>
      <w:r>
        <w:rPr>
          <w:rFonts w:ascii="Times New Roman" w:eastAsia="Times New Roman" w:hAnsi="Times New Roman"/>
          <w:b/>
          <w:bCs/>
          <w:color w:val="000000" w:themeColor="text1"/>
          <w:sz w:val="26"/>
          <w:szCs w:val="26"/>
          <w:u w:val="single"/>
        </w:rPr>
        <w:t>PRECEDENTES ESPECÍFICOS</w:t>
      </w:r>
    </w:p>
    <w:p w14:paraId="69C755D7" w14:textId="77777777" w:rsidR="00AB2576" w:rsidRDefault="00AB2576" w:rsidP="00AB2576">
      <w:pPr>
        <w:spacing w:after="0" w:line="240" w:lineRule="auto"/>
        <w:ind w:left="284" w:hanging="284"/>
        <w:jc w:val="both"/>
        <w:rPr>
          <w:rFonts w:ascii="Times New Roman" w:eastAsia="Times New Roman" w:hAnsi="Times New Roman"/>
          <w:color w:val="000000" w:themeColor="text1"/>
          <w:sz w:val="26"/>
          <w:szCs w:val="26"/>
        </w:rPr>
      </w:pPr>
    </w:p>
    <w:p w14:paraId="1F34F665"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 xml:space="preserve">3.1. </w:t>
      </w:r>
      <w:r>
        <w:rPr>
          <w:rFonts w:ascii="Times New Roman" w:eastAsia="Times New Roman" w:hAnsi="Times New Roman"/>
          <w:b/>
          <w:bCs/>
          <w:color w:val="000000" w:themeColor="text1"/>
          <w:sz w:val="26"/>
          <w:szCs w:val="26"/>
          <w:u w:val="single"/>
        </w:rPr>
        <w:t>STF: recentes acórdãos – MS 36869 - MS 36744 - MS 31244 - com determinação de compensação para futuro, sem retroatividade</w:t>
      </w:r>
    </w:p>
    <w:p w14:paraId="4DDD39A3"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3AF8FDDA"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A impossibilidade – por analogia - de corte remuneratório foi objeto de recente julgamento dos Embargos de Declaração no Recurso Extraordinário nº 638.115, no qual o Supremo entendeu ser indevida a cessação imediata do pagamento de VPNI de quintos, garantindo a modulação a fim de que a parcela seja mantida até a absorção por </w:t>
      </w:r>
      <w:r>
        <w:rPr>
          <w:rFonts w:ascii="Times New Roman" w:eastAsia="Times New Roman" w:hAnsi="Times New Roman"/>
          <w:b/>
          <w:bCs/>
          <w:color w:val="000000" w:themeColor="text1"/>
          <w:sz w:val="26"/>
          <w:szCs w:val="26"/>
        </w:rPr>
        <w:t>reajustes futuros</w:t>
      </w:r>
      <w:r>
        <w:rPr>
          <w:rFonts w:ascii="Times New Roman" w:eastAsia="Times New Roman" w:hAnsi="Times New Roman"/>
          <w:color w:val="000000" w:themeColor="text1"/>
          <w:sz w:val="26"/>
          <w:szCs w:val="26"/>
        </w:rPr>
        <w:t xml:space="preserve">. </w:t>
      </w:r>
    </w:p>
    <w:p w14:paraId="7D2F73A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2074B73F"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acórdão, inclusive, admitiu a modulação dos efeitos da decisão para aqueles que continuam recebendo os quintos em razão de decisão administrativa. </w:t>
      </w:r>
      <w:r>
        <w:rPr>
          <w:rFonts w:ascii="Times New Roman" w:eastAsia="Times New Roman" w:hAnsi="Times New Roman"/>
          <w:b/>
          <w:bCs/>
          <w:color w:val="000000" w:themeColor="text1"/>
          <w:sz w:val="26"/>
          <w:szCs w:val="26"/>
        </w:rPr>
        <w:t xml:space="preserve">Tal posicionamento foi reafirmado quando do julgamento do agravo regimental em </w:t>
      </w:r>
      <w:r>
        <w:rPr>
          <w:rFonts w:ascii="Times New Roman" w:eastAsia="Times New Roman" w:hAnsi="Times New Roman"/>
          <w:b/>
          <w:bCs/>
          <w:color w:val="000000" w:themeColor="text1"/>
          <w:sz w:val="26"/>
          <w:szCs w:val="26"/>
          <w:u w:val="single"/>
        </w:rPr>
        <w:t>mandado de segurança n° 36869</w:t>
      </w:r>
      <w:r>
        <w:rPr>
          <w:rFonts w:ascii="Times New Roman" w:eastAsia="Times New Roman" w:hAnsi="Times New Roman"/>
          <w:b/>
          <w:bCs/>
          <w:color w:val="000000" w:themeColor="text1"/>
          <w:sz w:val="26"/>
          <w:szCs w:val="26"/>
        </w:rPr>
        <w:t xml:space="preserve"> (relator Ministro </w:t>
      </w:r>
      <w:proofErr w:type="spellStart"/>
      <w:r>
        <w:rPr>
          <w:rFonts w:ascii="Times New Roman" w:eastAsia="Times New Roman" w:hAnsi="Times New Roman"/>
          <w:b/>
          <w:bCs/>
          <w:color w:val="000000" w:themeColor="text1"/>
          <w:sz w:val="26"/>
          <w:szCs w:val="26"/>
        </w:rPr>
        <w:t>Fux</w:t>
      </w:r>
      <w:proofErr w:type="spellEnd"/>
      <w:r>
        <w:rPr>
          <w:rFonts w:ascii="Times New Roman" w:eastAsia="Times New Roman" w:hAnsi="Times New Roman"/>
          <w:b/>
          <w:bCs/>
          <w:color w:val="000000" w:themeColor="text1"/>
          <w:sz w:val="26"/>
          <w:szCs w:val="26"/>
        </w:rPr>
        <w:t>)</w:t>
      </w:r>
      <w:r>
        <w:rPr>
          <w:rFonts w:ascii="Times New Roman" w:eastAsia="Times New Roman" w:hAnsi="Times New Roman"/>
          <w:color w:val="000000" w:themeColor="text1"/>
          <w:sz w:val="26"/>
          <w:szCs w:val="26"/>
        </w:rPr>
        <w:t>, em que o STF determinou que o TCU reanalisasse pleitos que versavam sobre a matéria, observando o entendimento firmado, em situações que envolve – especificamente – o Acórdão 2784/2016/TCU-Plenário (VPNI de quintos de OJAF com GAE). Assim ficou ementado o acórdão de agravo regimental no MS 36869:</w:t>
      </w:r>
    </w:p>
    <w:p w14:paraId="38A69CD1"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6ADAC8DA"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sz w:val="20"/>
          <w:szCs w:val="20"/>
        </w:rPr>
        <w:t>AGRAVO REGIMENTAL EM MANDADO DE SEGURANÇA. TRIBUNAL DE CONTAS DA UNIÃO. NEGATIVA DE REGISTRO A ATO DE CONCESSÃO INICIAL DE APOSENTADORIA. [...]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A QUE SE DÁ PARCIAL PROVIMENTO</w:t>
      </w:r>
      <w:r>
        <w:rPr>
          <w:rFonts w:ascii="Times New Roman" w:eastAsia="Times New Roman" w:hAnsi="Times New Roman"/>
          <w:color w:val="000000" w:themeColor="text1"/>
        </w:rPr>
        <w:t xml:space="preserve">. [...] 7. Em verdade, in </w:t>
      </w:r>
      <w:proofErr w:type="spellStart"/>
      <w:r>
        <w:rPr>
          <w:rFonts w:ascii="Times New Roman" w:eastAsia="Times New Roman" w:hAnsi="Times New Roman"/>
          <w:color w:val="000000" w:themeColor="text1"/>
        </w:rPr>
        <w:t>casu</w:t>
      </w:r>
      <w:proofErr w:type="spellEnd"/>
      <w:r>
        <w:rPr>
          <w:rFonts w:ascii="Times New Roman" w:eastAsia="Times New Roman" w:hAnsi="Times New Roman"/>
          <w:color w:val="000000" w:themeColor="text1"/>
        </w:rPr>
        <w:t xml:space="preserve">, há somente UM ponto na argumentação do agravante, trazida supervenientemente já em sede memorial, que demanda o reparo de minha decisão monocrática anterior. 8. O Plenário deste Supremo Tribunal Federal, no julgamento do Recurso Extraordinário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9. Ocorre que, supervenientemente, houve a modulação dos efeitos da decisão anteriormente proferida no Recurso Extraordinário n. 638.115, em sede de repercussão geral (RE 638.115-ED-ED, Min. Rel. Gilmar Mendes, Tribunal Pleno, DJe em 31/1/2020). 10. </w:t>
      </w:r>
      <w:proofErr w:type="spellStart"/>
      <w:r>
        <w:rPr>
          <w:rFonts w:ascii="Times New Roman" w:eastAsia="Times New Roman" w:hAnsi="Times New Roman"/>
          <w:color w:val="000000" w:themeColor="text1"/>
        </w:rPr>
        <w:t>Consectariamente</w:t>
      </w:r>
      <w:proofErr w:type="spellEnd"/>
      <w:r>
        <w:rPr>
          <w:rFonts w:ascii="Times New Roman" w:eastAsia="Times New Roman" w:hAnsi="Times New Roman"/>
          <w:color w:val="000000" w:themeColor="text1"/>
        </w:rPr>
        <w:t xml:space="preserv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w:t>
      </w:r>
      <w:proofErr w:type="gramStart"/>
      <w:r>
        <w:rPr>
          <w:rFonts w:ascii="Times New Roman" w:eastAsia="Times New Roman" w:hAnsi="Times New Roman"/>
          <w:color w:val="000000" w:themeColor="text1"/>
        </w:rPr>
        <w:t>servidores.”</w:t>
      </w:r>
      <w:proofErr w:type="gramEnd"/>
      <w:r>
        <w:rPr>
          <w:rFonts w:ascii="Times New Roman" w:eastAsia="Times New Roman" w:hAnsi="Times New Roman"/>
          <w:color w:val="000000" w:themeColor="text1"/>
        </w:rPr>
        <w:t xml:space="preserve">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w:t>
      </w:r>
      <w:r>
        <w:rPr>
          <w:rFonts w:ascii="Times New Roman" w:eastAsia="Times New Roman" w:hAnsi="Times New Roman"/>
          <w:color w:val="000000" w:themeColor="text1"/>
        </w:rPr>
        <w:lastRenderedPageBreak/>
        <w:t xml:space="preserve">até sua absorção integral por quaisquer reajustes futuros concedidos aos servidores”. 11.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12. De fato, </w:t>
      </w:r>
      <w:proofErr w:type="gramStart"/>
      <w:r>
        <w:rPr>
          <w:rFonts w:ascii="Times New Roman" w:eastAsia="Times New Roman" w:hAnsi="Times New Roman"/>
          <w:color w:val="000000" w:themeColor="text1"/>
        </w:rPr>
        <w:t>o enfrentamento de questões afetas à Corte de Contas firmam-se</w:t>
      </w:r>
      <w:proofErr w:type="gramEnd"/>
      <w:r>
        <w:rPr>
          <w:rFonts w:ascii="Times New Roman" w:eastAsia="Times New Roman" w:hAnsi="Times New Roman"/>
          <w:color w:val="000000" w:themeColor="text1"/>
        </w:rPr>
        <w:t xml:space="preserv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13. Nesse sentido, há maior razoabilidade em delegar ao próprio órgão que reavalie a decisão, porém em estrita observância às novas balizas desta Suprema Corte. 14. Agravo regimental a que se dá PARCIAL PROVIMENTO, apenas para que o Tribunal de Contas da União, nos autos do processo de Tomada de Contas (TC) nº 026.294/2016-8, analise novamente o pleito da agravante observando a nova orientação proferida pelo Plenário deste Supremo Tribunal Federal (RE 638.115-ED-ED, Min. Rel. Gilmar Mendes, Tribunal Pleno, DJe em 31/1/2020).</w:t>
      </w:r>
    </w:p>
    <w:p w14:paraId="6658459C"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w:t>
      </w:r>
      <w:r>
        <w:rPr>
          <w:rFonts w:ascii="Times New Roman" w:eastAsia="Times New Roman" w:hAnsi="Times New Roman"/>
          <w:b/>
          <w:bCs/>
          <w:color w:val="000000" w:themeColor="text1"/>
        </w:rPr>
        <w:t xml:space="preserve">MS 36869 AgR, </w:t>
      </w:r>
      <w:proofErr w:type="gramStart"/>
      <w:r>
        <w:rPr>
          <w:rFonts w:ascii="Times New Roman" w:eastAsia="Times New Roman" w:hAnsi="Times New Roman"/>
          <w:b/>
          <w:bCs/>
          <w:color w:val="000000" w:themeColor="text1"/>
        </w:rPr>
        <w:t>Relator(</w:t>
      </w:r>
      <w:proofErr w:type="gramEnd"/>
      <w:r>
        <w:rPr>
          <w:rFonts w:ascii="Times New Roman" w:eastAsia="Times New Roman" w:hAnsi="Times New Roman"/>
          <w:b/>
          <w:bCs/>
          <w:color w:val="000000" w:themeColor="text1"/>
        </w:rPr>
        <w:t>a): Min. LUIZ FUX, Julgamento: 22/05/2020, Publicação: 18/06/2020, Órgão julgador: Primeira PROCESSO ELETRÔNICO DJe-151 DIVULG 17-06-2020 PUBLIC 18-06-2020</w:t>
      </w:r>
      <w:r>
        <w:rPr>
          <w:rFonts w:ascii="Times New Roman" w:eastAsia="Times New Roman" w:hAnsi="Times New Roman"/>
          <w:color w:val="000000" w:themeColor="text1"/>
        </w:rPr>
        <w:t>)</w:t>
      </w:r>
    </w:p>
    <w:p w14:paraId="63735998"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5B4119F2"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Inconformada, a União opôs </w:t>
      </w:r>
      <w:r>
        <w:rPr>
          <w:rFonts w:ascii="Times New Roman" w:eastAsia="Times New Roman" w:hAnsi="Times New Roman"/>
          <w:b/>
          <w:bCs/>
          <w:color w:val="000000" w:themeColor="text1"/>
          <w:sz w:val="26"/>
          <w:szCs w:val="26"/>
        </w:rPr>
        <w:t>embargos de declaração</w:t>
      </w:r>
      <w:r>
        <w:rPr>
          <w:rFonts w:ascii="Times New Roman" w:eastAsia="Times New Roman" w:hAnsi="Times New Roman"/>
          <w:color w:val="000000" w:themeColor="text1"/>
          <w:sz w:val="26"/>
          <w:szCs w:val="26"/>
        </w:rPr>
        <w:t xml:space="preserve"> ao referido acórdão de agravo no </w:t>
      </w:r>
      <w:r>
        <w:rPr>
          <w:rFonts w:ascii="Times New Roman" w:eastAsia="Times New Roman" w:hAnsi="Times New Roman"/>
          <w:b/>
          <w:bCs/>
          <w:color w:val="000000" w:themeColor="text1"/>
          <w:sz w:val="26"/>
          <w:szCs w:val="26"/>
        </w:rPr>
        <w:t>MS 36869</w:t>
      </w:r>
      <w:r>
        <w:rPr>
          <w:rFonts w:ascii="Times New Roman" w:eastAsia="Times New Roman" w:hAnsi="Times New Roman"/>
          <w:color w:val="000000" w:themeColor="text1"/>
          <w:sz w:val="26"/>
          <w:szCs w:val="26"/>
        </w:rPr>
        <w:t xml:space="preserve">, cujo julgamento pelo desprovimento ocorreu em outubro de 2020, agora sob a relatoria do </w:t>
      </w:r>
      <w:r>
        <w:rPr>
          <w:rFonts w:ascii="Times New Roman" w:eastAsia="Times New Roman" w:hAnsi="Times New Roman"/>
          <w:b/>
          <w:bCs/>
          <w:color w:val="000000" w:themeColor="text1"/>
          <w:sz w:val="26"/>
          <w:szCs w:val="26"/>
        </w:rPr>
        <w:t>Ministro Dias Toffoli</w:t>
      </w:r>
      <w:r>
        <w:rPr>
          <w:rFonts w:ascii="Times New Roman" w:eastAsia="Times New Roman" w:hAnsi="Times New Roman"/>
          <w:color w:val="000000" w:themeColor="text1"/>
          <w:sz w:val="26"/>
          <w:szCs w:val="26"/>
        </w:rPr>
        <w:t xml:space="preserve">, confirmando a aplicação analógica da modulação do RE 638115 ao caso, entendendo que não pode haver corte remuneratório ou compensação retroativa, como pretende o TCU. Assim ficou consignado o voto do Ministro Toffoli, acompanhado à </w:t>
      </w:r>
      <w:r>
        <w:rPr>
          <w:rFonts w:ascii="Times New Roman" w:eastAsia="Times New Roman" w:hAnsi="Times New Roman"/>
          <w:b/>
          <w:bCs/>
          <w:color w:val="000000" w:themeColor="text1"/>
          <w:sz w:val="26"/>
          <w:szCs w:val="26"/>
        </w:rPr>
        <w:t>unanimidade</w:t>
      </w:r>
      <w:r>
        <w:rPr>
          <w:rFonts w:ascii="Times New Roman" w:eastAsia="Times New Roman" w:hAnsi="Times New Roman"/>
          <w:color w:val="000000" w:themeColor="text1"/>
          <w:sz w:val="26"/>
          <w:szCs w:val="26"/>
        </w:rPr>
        <w:t xml:space="preserve"> pela Primeira Turma do STF:</w:t>
      </w:r>
    </w:p>
    <w:p w14:paraId="6B8D512C"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276FF348"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“Restou, então, expresso o fundamento quanto à possibilidade, de aplicação, ao caso, de precedente desta Suprema Corte, apreciado sob a sistemática da repercussão geral. Bem por isso, foi proferida ordem, no sentido de que o TCU reaprecie a questão, segundo os termos desse paradigma, então indicado, bem como da </w:t>
      </w:r>
      <w:proofErr w:type="gramStart"/>
      <w:r>
        <w:rPr>
          <w:rFonts w:ascii="Times New Roman" w:eastAsia="Times New Roman" w:hAnsi="Times New Roman"/>
          <w:color w:val="000000" w:themeColor="text1"/>
        </w:rPr>
        <w:t>modulação  que</w:t>
      </w:r>
      <w:proofErr w:type="gramEnd"/>
      <w:r>
        <w:rPr>
          <w:rFonts w:ascii="Times New Roman" w:eastAsia="Times New Roman" w:hAnsi="Times New Roman"/>
          <w:color w:val="000000" w:themeColor="text1"/>
        </w:rPr>
        <w:t xml:space="preserve">  se  seguiu,  o  que  em  absoluto  constitui  contradição  com  os termos  daquela  decisão,  podendo  a  embargante,  futuramente,  insurgir-se contra a nova decisão a ser proferida pela Corte de Contas, se discordar de seus termos. As  demais  alegações  da  embargante,  relacionadas  à  inaplicabilidade  da Repercussão  Geral  (RE  638-115-RG)  ao  caso  dos  autos  não  merecem acolhida,  tendo  em  vista  a  possibilidade  de  identificação,  do  presente  caso, com  uma  das  três  hipóteses  de  entendimento  consolidadas  naquele  RE, quando   do   julgamento   dos   embargos   de   declaração   e   consequente modulação  de  seus  efeitos,  conforme  a  seguinte  citação  de  trecho  do acórdão: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w:t>
      </w:r>
    </w:p>
    <w:p w14:paraId="0CD4D306"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lastRenderedPageBreak/>
        <w:t>(</w:t>
      </w:r>
      <w:r>
        <w:rPr>
          <w:rFonts w:ascii="Times New Roman" w:eastAsia="Times New Roman" w:hAnsi="Times New Roman"/>
          <w:b/>
          <w:bCs/>
          <w:color w:val="000000" w:themeColor="text1"/>
        </w:rPr>
        <w:t xml:space="preserve">MS 36869 </w:t>
      </w:r>
      <w:proofErr w:type="spellStart"/>
      <w:r>
        <w:rPr>
          <w:rFonts w:ascii="Times New Roman" w:eastAsia="Times New Roman" w:hAnsi="Times New Roman"/>
          <w:b/>
          <w:bCs/>
          <w:color w:val="000000" w:themeColor="text1"/>
        </w:rPr>
        <w:t>AgR-ED</w:t>
      </w:r>
      <w:proofErr w:type="spellEnd"/>
      <w:r>
        <w:rPr>
          <w:rFonts w:ascii="Times New Roman" w:eastAsia="Times New Roman" w:hAnsi="Times New Roman"/>
          <w:b/>
          <w:bCs/>
          <w:color w:val="000000" w:themeColor="text1"/>
        </w:rPr>
        <w:t xml:space="preserve">, </w:t>
      </w:r>
      <w:proofErr w:type="gramStart"/>
      <w:r>
        <w:rPr>
          <w:rFonts w:ascii="Times New Roman" w:eastAsia="Times New Roman" w:hAnsi="Times New Roman"/>
          <w:b/>
          <w:bCs/>
          <w:color w:val="000000" w:themeColor="text1"/>
        </w:rPr>
        <w:t>Relator(</w:t>
      </w:r>
      <w:proofErr w:type="gramEnd"/>
      <w:r>
        <w:rPr>
          <w:rFonts w:ascii="Times New Roman" w:eastAsia="Times New Roman" w:hAnsi="Times New Roman"/>
          <w:b/>
          <w:bCs/>
          <w:color w:val="000000" w:themeColor="text1"/>
        </w:rPr>
        <w:t xml:space="preserve">a): Min. DIAS TOFFOLI, Ata de Julgamento Publicada, DJE ATA Nº 31, de 20/10/2020. DJE nº 257, divulgado em 23/10/2020, </w:t>
      </w:r>
      <w:r>
        <w:rPr>
          <w:rFonts w:ascii="Times New Roman" w:eastAsia="Times New Roman" w:hAnsi="Times New Roman"/>
          <w:color w:val="000000" w:themeColor="text1"/>
        </w:rPr>
        <w:t>Decisão: A Turma, por unanimidade, rejeitou os embargos de declaração, nos termos do voto do Relator. Primeira Turma, Sessão Virtual de 9.10.2020 a 19.10.2020)</w:t>
      </w:r>
    </w:p>
    <w:p w14:paraId="5BB033B1" w14:textId="77777777" w:rsidR="00AB2576" w:rsidRDefault="00AB2576" w:rsidP="00AB2576">
      <w:pPr>
        <w:spacing w:after="0" w:line="240" w:lineRule="auto"/>
        <w:ind w:left="1701"/>
        <w:jc w:val="both"/>
        <w:rPr>
          <w:rFonts w:ascii="Times New Roman" w:eastAsia="Times New Roman" w:hAnsi="Times New Roman"/>
          <w:color w:val="000000" w:themeColor="text1"/>
        </w:rPr>
      </w:pPr>
    </w:p>
    <w:p w14:paraId="11BBF514"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voto do Ministro Toffoli no MS 36869 foi seguido pelos Ministros </w:t>
      </w:r>
      <w:r>
        <w:rPr>
          <w:rFonts w:ascii="Times New Roman" w:eastAsia="Times New Roman" w:hAnsi="Times New Roman"/>
          <w:b/>
          <w:bCs/>
          <w:color w:val="000000" w:themeColor="text1"/>
          <w:sz w:val="26"/>
          <w:szCs w:val="26"/>
        </w:rPr>
        <w:t>Marco Aurélio</w:t>
      </w:r>
      <w:r>
        <w:rPr>
          <w:rFonts w:ascii="Times New Roman" w:eastAsia="Times New Roman" w:hAnsi="Times New Roman"/>
          <w:color w:val="000000" w:themeColor="text1"/>
          <w:sz w:val="26"/>
          <w:szCs w:val="26"/>
        </w:rPr>
        <w:t xml:space="preserve">, </w:t>
      </w:r>
      <w:r>
        <w:rPr>
          <w:rFonts w:ascii="Times New Roman" w:eastAsia="Times New Roman" w:hAnsi="Times New Roman"/>
          <w:b/>
          <w:bCs/>
          <w:color w:val="000000" w:themeColor="text1"/>
          <w:sz w:val="26"/>
          <w:szCs w:val="26"/>
        </w:rPr>
        <w:t>Rosa Weber</w:t>
      </w:r>
      <w:r>
        <w:rPr>
          <w:rFonts w:ascii="Times New Roman" w:eastAsia="Times New Roman" w:hAnsi="Times New Roman"/>
          <w:color w:val="000000" w:themeColor="text1"/>
          <w:sz w:val="26"/>
          <w:szCs w:val="26"/>
        </w:rPr>
        <w:t xml:space="preserve">, </w:t>
      </w:r>
      <w:r>
        <w:rPr>
          <w:rFonts w:ascii="Times New Roman" w:eastAsia="Times New Roman" w:hAnsi="Times New Roman"/>
          <w:b/>
          <w:bCs/>
          <w:color w:val="000000" w:themeColor="text1"/>
          <w:sz w:val="26"/>
          <w:szCs w:val="26"/>
        </w:rPr>
        <w:t>Alexandre de Moraes</w:t>
      </w:r>
      <w:r>
        <w:rPr>
          <w:rFonts w:ascii="Times New Roman" w:eastAsia="Times New Roman" w:hAnsi="Times New Roman"/>
          <w:color w:val="000000" w:themeColor="text1"/>
          <w:sz w:val="26"/>
          <w:szCs w:val="26"/>
        </w:rPr>
        <w:t xml:space="preserve"> e </w:t>
      </w:r>
      <w:r>
        <w:rPr>
          <w:rFonts w:ascii="Times New Roman" w:eastAsia="Times New Roman" w:hAnsi="Times New Roman"/>
          <w:b/>
          <w:bCs/>
          <w:color w:val="000000" w:themeColor="text1"/>
          <w:sz w:val="26"/>
          <w:szCs w:val="26"/>
        </w:rPr>
        <w:t>Luís Roberto Barroso</w:t>
      </w:r>
      <w:r>
        <w:rPr>
          <w:rFonts w:ascii="Times New Roman" w:eastAsia="Times New Roman" w:hAnsi="Times New Roman"/>
          <w:color w:val="000000" w:themeColor="text1"/>
          <w:sz w:val="26"/>
          <w:szCs w:val="26"/>
        </w:rPr>
        <w:t>. Em resumo, mesmo que se considere a possiblidade de suspensão de pagamento da VPNI, a solução é diversa daquela supostamente sustentada pela demandada. Para tanto, basta verificar adequadamente o precedente invocado (MS 36869), o primeiro que trata da questão de fundo dos oficiais de justiça de maneira detalhada, aplicando - por analogia - a modulação do RE 638115.</w:t>
      </w:r>
    </w:p>
    <w:p w14:paraId="72B5C9B1"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43078BCE"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Se não fosse suficiente, outras decisões recentes do </w:t>
      </w:r>
      <w:r>
        <w:rPr>
          <w:rFonts w:ascii="Times New Roman" w:eastAsia="Times New Roman" w:hAnsi="Times New Roman"/>
          <w:b/>
          <w:bCs/>
          <w:color w:val="000000" w:themeColor="text1"/>
          <w:sz w:val="26"/>
          <w:szCs w:val="26"/>
          <w:u w:val="single"/>
        </w:rPr>
        <w:t>STF</w:t>
      </w:r>
      <w:r>
        <w:rPr>
          <w:rFonts w:ascii="Times New Roman" w:eastAsia="Times New Roman" w:hAnsi="Times New Roman"/>
          <w:color w:val="000000" w:themeColor="text1"/>
          <w:sz w:val="26"/>
          <w:szCs w:val="26"/>
        </w:rPr>
        <w:t xml:space="preserve"> evoluíram na interpretação de situações análogas, determinando a manutenção da VPNI na folha de pagamento, como </w:t>
      </w:r>
      <w:r>
        <w:rPr>
          <w:rFonts w:ascii="Times New Roman" w:eastAsia="Times New Roman" w:hAnsi="Times New Roman"/>
          <w:b/>
          <w:bCs/>
          <w:color w:val="000000" w:themeColor="text1"/>
          <w:sz w:val="26"/>
          <w:szCs w:val="26"/>
        </w:rPr>
        <w:t>parcela compensatória, a ser absorvida por reajustes futuros</w:t>
      </w:r>
      <w:r>
        <w:rPr>
          <w:rFonts w:ascii="Times New Roman" w:eastAsia="Times New Roman" w:hAnsi="Times New Roman"/>
          <w:color w:val="000000" w:themeColor="text1"/>
          <w:sz w:val="26"/>
          <w:szCs w:val="26"/>
        </w:rPr>
        <w:t xml:space="preserve">. Nesse sentido, foram os julgamentos do </w:t>
      </w:r>
      <w:r>
        <w:rPr>
          <w:rFonts w:ascii="Times New Roman" w:eastAsia="Times New Roman" w:hAnsi="Times New Roman"/>
          <w:b/>
          <w:bCs/>
          <w:color w:val="000000" w:themeColor="text1"/>
          <w:sz w:val="26"/>
          <w:szCs w:val="26"/>
          <w:u w:val="single"/>
        </w:rPr>
        <w:t>MS 36744</w:t>
      </w:r>
      <w:r>
        <w:rPr>
          <w:rFonts w:ascii="Times New Roman" w:eastAsia="Times New Roman" w:hAnsi="Times New Roman"/>
          <w:color w:val="000000" w:themeColor="text1"/>
          <w:sz w:val="26"/>
          <w:szCs w:val="26"/>
        </w:rPr>
        <w:t xml:space="preserve"> e do </w:t>
      </w:r>
      <w:r>
        <w:rPr>
          <w:rFonts w:ascii="Times New Roman" w:eastAsia="Times New Roman" w:hAnsi="Times New Roman"/>
          <w:b/>
          <w:bCs/>
          <w:color w:val="000000" w:themeColor="text1"/>
          <w:sz w:val="26"/>
          <w:szCs w:val="26"/>
          <w:u w:val="single"/>
        </w:rPr>
        <w:t>MS 31244</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vejamos as ementas:</w:t>
      </w:r>
    </w:p>
    <w:p w14:paraId="138B2519"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5C1AD997"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PLENÁRIO DO SUPREMO TRIBUNAL FEDERAL EM REPERCUSSÃO GERAL, INDEPENDENTEMENTE DO TRÂNSITO EM JULGADO DO PARADIGMA.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REPÚBLICA.AGRAVO REGIMENTAL A QUE SE DÁ PARCIAL PROVIMENTO. [...] 4. Ocorre que, supervenientemente, houve a modulação dos efeitos da decisão anteriormente proferida no Recurso Extraordinário n. 638.115, em sede de repercussão geral (RE 638.115-ED-ED, Min. Rel. Gilmar Mendes, Tribunal Pleno, DJe em 31/1/2020). 5. </w:t>
      </w:r>
      <w:proofErr w:type="spellStart"/>
      <w:r>
        <w:rPr>
          <w:rFonts w:ascii="Times New Roman" w:eastAsia="Times New Roman" w:hAnsi="Times New Roman"/>
          <w:color w:val="000000" w:themeColor="text1"/>
        </w:rPr>
        <w:t>Consectariamente</w:t>
      </w:r>
      <w:proofErr w:type="spellEnd"/>
      <w:r>
        <w:rPr>
          <w:rFonts w:ascii="Times New Roman" w:eastAsia="Times New Roman" w:hAnsi="Times New Roman"/>
          <w:color w:val="000000" w:themeColor="text1"/>
        </w:rPr>
        <w:t xml:space="preserv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w:t>
      </w:r>
      <w:r>
        <w:rPr>
          <w:rFonts w:ascii="Times New Roman" w:eastAsia="Times New Roman" w:hAnsi="Times New Roman"/>
          <w:color w:val="000000" w:themeColor="text1"/>
        </w:rPr>
        <w:lastRenderedPageBreak/>
        <w:t xml:space="preserve">futuros concedidos aos </w:t>
      </w:r>
      <w:proofErr w:type="gramStart"/>
      <w:r>
        <w:rPr>
          <w:rFonts w:ascii="Times New Roman" w:eastAsia="Times New Roman" w:hAnsi="Times New Roman"/>
          <w:color w:val="000000" w:themeColor="text1"/>
        </w:rPr>
        <w:t>servidores.”</w:t>
      </w:r>
      <w:proofErr w:type="gramEnd"/>
      <w:r>
        <w:rPr>
          <w:rFonts w:ascii="Times New Roman" w:eastAsia="Times New Roman" w:hAnsi="Times New Roman"/>
          <w:color w:val="000000" w:themeColor="text1"/>
        </w:rPr>
        <w:t xml:space="preserve">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w:t>
      </w:r>
      <w:proofErr w:type="gramStart"/>
      <w:r>
        <w:rPr>
          <w:rFonts w:ascii="Times New Roman" w:eastAsia="Times New Roman" w:hAnsi="Times New Roman"/>
          <w:color w:val="000000" w:themeColor="text1"/>
        </w:rPr>
        <w:t>o enfrentamento de questões afetas à Corte de Contas firmam-se</w:t>
      </w:r>
      <w:proofErr w:type="gramEnd"/>
      <w:r>
        <w:rPr>
          <w:rFonts w:ascii="Times New Roman" w:eastAsia="Times New Roman" w:hAnsi="Times New Roman"/>
          <w:color w:val="000000" w:themeColor="text1"/>
        </w:rPr>
        <w:t xml:space="preserv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DJe em 31/1/2020).</w:t>
      </w:r>
    </w:p>
    <w:p w14:paraId="0D1A67D3" w14:textId="77777777" w:rsidR="00AB2576" w:rsidRDefault="00AB2576" w:rsidP="00AB2576">
      <w:pPr>
        <w:spacing w:after="0" w:line="240" w:lineRule="auto"/>
        <w:ind w:left="1701"/>
        <w:jc w:val="both"/>
        <w:rPr>
          <w:rFonts w:ascii="Times New Roman" w:eastAsia="Times New Roman" w:hAnsi="Times New Roman"/>
          <w:b/>
          <w:bCs/>
          <w:color w:val="000000" w:themeColor="text1"/>
          <w:vertAlign w:val="superscript"/>
        </w:rPr>
      </w:pPr>
      <w:r>
        <w:rPr>
          <w:rFonts w:ascii="Times New Roman" w:eastAsia="Times New Roman" w:hAnsi="Times New Roman"/>
          <w:b/>
          <w:bCs/>
          <w:color w:val="000000" w:themeColor="text1"/>
        </w:rPr>
        <w:t>(MS 36744 AgR, Relator(a): LUIZ FUX, Primeira Turma, julgado em 22/05/2020, PROCESSO ELETRÔNICO DJe-151 DIVULG 17-06-2020 PUBLIC 18-06-2020)</w:t>
      </w:r>
      <w:r>
        <w:rPr>
          <w:rStyle w:val="Refdenotaderodap"/>
          <w:rFonts w:ascii="Times New Roman" w:eastAsia="Times New Roman" w:hAnsi="Times New Roman"/>
          <w:b/>
          <w:bCs/>
          <w:color w:val="000000" w:themeColor="text1"/>
        </w:rPr>
        <w:footnoteReference w:id="21"/>
      </w:r>
    </w:p>
    <w:p w14:paraId="490DC7B1" w14:textId="77777777" w:rsidR="00AB2576" w:rsidRDefault="00AB2576" w:rsidP="00AB2576">
      <w:pPr>
        <w:spacing w:after="0" w:line="240" w:lineRule="auto"/>
        <w:ind w:firstLine="1701"/>
        <w:jc w:val="both"/>
        <w:rPr>
          <w:rFonts w:ascii="Times New Roman" w:eastAsia="Times New Roman" w:hAnsi="Times New Roman"/>
          <w:color w:val="000000" w:themeColor="text1"/>
        </w:rPr>
      </w:pPr>
    </w:p>
    <w:p w14:paraId="30B2BA6D"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Ementa: AGRAVO REGIMENTAL EM MANDADO DE SEGURANÇA. ATO DO TRIBUNAL DE CONTAS DA UNIÃO. ATIVIDADE FISCALIZADORA. INSPEÇÃO. [...] CUMULAÇÃO DE VALOR INTEGRAL DE FUNÇÃO COMISSIONADA OU CARGO EM COMISSÃO COM REMUNERAÇÃO DE CARGO EFETIVO. VANTAGEM CONCEDIDA PELA ADMINISTRAÇÃO PÚBLICA. PERCENTUAL DE 10,87% (</w:t>
      </w:r>
      <w:proofErr w:type="spellStart"/>
      <w:r>
        <w:rPr>
          <w:rFonts w:ascii="Times New Roman" w:eastAsia="Times New Roman" w:hAnsi="Times New Roman"/>
          <w:color w:val="000000" w:themeColor="text1"/>
        </w:rPr>
        <w:t>IPCr</w:t>
      </w:r>
      <w:proofErr w:type="spellEnd"/>
      <w:r>
        <w:rPr>
          <w:rFonts w:ascii="Times New Roman" w:eastAsia="Times New Roman" w:hAnsi="Times New Roman"/>
          <w:color w:val="000000" w:themeColor="text1"/>
        </w:rPr>
        <w:t xml:space="preserve">). DECORRÊNCIA DO CUMPRIMENTO DE DECISÕES JUDICIAIS. SEGURANÇA CONCEDIDA PARCIALMENTE.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PARCIALMENTE PROVIDO[...] 5. O Plenário deste Supremo Tribunal Federal, no julgamento do Recurso Extraordinário n.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Ocorre que, supervenientemente, houve a modulação dos efeitos da decisão anteriormente proferida no Recurso Extraordinário n. 638.115, em sede de repercussão geral (RE 638.115-ED-ED, Min. Rel. Gilmar Mendes, Tribunal Pleno, DJe em </w:t>
      </w:r>
      <w:r>
        <w:rPr>
          <w:rFonts w:ascii="Times New Roman" w:eastAsia="Times New Roman" w:hAnsi="Times New Roman"/>
          <w:color w:val="000000" w:themeColor="text1"/>
        </w:rPr>
        <w:lastRenderedPageBreak/>
        <w:t xml:space="preserve">31/1/2020). 6. </w:t>
      </w:r>
      <w:proofErr w:type="spellStart"/>
      <w:r>
        <w:rPr>
          <w:rFonts w:ascii="Times New Roman" w:eastAsia="Times New Roman" w:hAnsi="Times New Roman"/>
          <w:color w:val="000000" w:themeColor="text1"/>
        </w:rPr>
        <w:t>Consectariamente</w:t>
      </w:r>
      <w:proofErr w:type="spellEnd"/>
      <w:r>
        <w:rPr>
          <w:rFonts w:ascii="Times New Roman" w:eastAsia="Times New Roman" w:hAnsi="Times New Roman"/>
          <w:color w:val="000000" w:themeColor="text1"/>
        </w:rPr>
        <w:t>,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7.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e expertise sobre eventuais outras questões fático-probatórias. É que além de suas decisões serem amparadas em juízo de expertise sobre o tema, o Tribunal de Contas é o órgão constitucionalmente habilitado para assinar prazo para que o órgão ou entidade adote as providências necessárias ao exato cumprimento da lei, se verificada ilegalidade (art. 71, IX, da Constituição Federal). 8. Nesse sentido, há maior razoabilidade em delegar ao próprio órgão que reavalie a decisão, porém em estrita observância às novas balizas desta Suprema Corte. 9. Agravo regimental a que se dá PARCIAL PROVIMENTO unicamente para que o Tribunal de Contas da União, nos autos do processo de Tomada de Contas (TC) 026.294/2016-8, analise novamente o pleito do agravante: (i) no que diz respeito aos quintos e décimos/VPNI, observando a nova orientação proferida pelo Plenário deste Supremo Tribunal Federal, no bojo do RE n. 638.115 (RE 638.115-ED-ED, Min. Rel. Gilmar Mendes, Tribunal Pleno, DJe em 31/1/2020); (</w:t>
      </w:r>
      <w:proofErr w:type="spellStart"/>
      <w:r>
        <w:rPr>
          <w:rFonts w:ascii="Times New Roman" w:eastAsia="Times New Roman" w:hAnsi="Times New Roman"/>
          <w:color w:val="000000" w:themeColor="text1"/>
        </w:rPr>
        <w:t>ii</w:t>
      </w:r>
      <w:proofErr w:type="spellEnd"/>
      <w:r>
        <w:rPr>
          <w:rFonts w:ascii="Times New Roman" w:eastAsia="Times New Roman" w:hAnsi="Times New Roman"/>
          <w:color w:val="000000" w:themeColor="text1"/>
        </w:rPr>
        <w:t xml:space="preserve">) no que concerne às parcelas do </w:t>
      </w:r>
      <w:proofErr w:type="spellStart"/>
      <w:r>
        <w:rPr>
          <w:rFonts w:ascii="Times New Roman" w:eastAsia="Times New Roman" w:hAnsi="Times New Roman"/>
          <w:color w:val="000000" w:themeColor="text1"/>
        </w:rPr>
        <w:t>IPCr</w:t>
      </w:r>
      <w:proofErr w:type="spellEnd"/>
      <w:r>
        <w:rPr>
          <w:rFonts w:ascii="Times New Roman" w:eastAsia="Times New Roman" w:hAnsi="Times New Roman"/>
          <w:color w:val="000000" w:themeColor="text1"/>
        </w:rPr>
        <w:t>, mantida sua correta determinação de ilegalidade pelo TCU, porém sem determinar a devolução das quantias recebidas a maior pelos substituídos do sindicato impetrante, pois revestidas de boa-fé e fruto de erro da própria Administração do TJDFT.</w:t>
      </w:r>
    </w:p>
    <w:p w14:paraId="53A6BB5E"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w:t>
      </w:r>
      <w:r>
        <w:rPr>
          <w:rFonts w:ascii="Times New Roman" w:eastAsia="Times New Roman" w:hAnsi="Times New Roman"/>
          <w:b/>
          <w:bCs/>
          <w:color w:val="000000" w:themeColor="text1"/>
        </w:rPr>
        <w:t xml:space="preserve">MS 31244 AgR, </w:t>
      </w:r>
      <w:proofErr w:type="gramStart"/>
      <w:r>
        <w:rPr>
          <w:rFonts w:ascii="Times New Roman" w:eastAsia="Times New Roman" w:hAnsi="Times New Roman"/>
          <w:b/>
          <w:bCs/>
          <w:color w:val="000000" w:themeColor="text1"/>
        </w:rPr>
        <w:t>Relator(</w:t>
      </w:r>
      <w:proofErr w:type="gramEnd"/>
      <w:r>
        <w:rPr>
          <w:rFonts w:ascii="Times New Roman" w:eastAsia="Times New Roman" w:hAnsi="Times New Roman"/>
          <w:b/>
          <w:bCs/>
          <w:color w:val="000000" w:themeColor="text1"/>
        </w:rPr>
        <w:t>a): LUIZ FUX, Primeira Turma, julgado em 22/05/2020, PROCESSO ELETRÔNICO DJe-151 DIVULG 17-06-2020 PUBLIC 18-06-2020</w:t>
      </w:r>
      <w:r>
        <w:rPr>
          <w:rFonts w:ascii="Times New Roman" w:eastAsia="Times New Roman" w:hAnsi="Times New Roman"/>
          <w:color w:val="000000" w:themeColor="text1"/>
        </w:rPr>
        <w:t>)</w:t>
      </w:r>
    </w:p>
    <w:p w14:paraId="3E6EE1D6"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3EDA9CAB"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Com tais decisões, confirma-se o desacerto do que pretende a Administração neste caso de VPNI + GAE, pois, mesmo que se reconheça essa possibilidade, em nome do princípio da eventualidade processual, a solução é a transformação em parcela compensatória a ser absorvida por reajustes </w:t>
      </w:r>
      <w:r>
        <w:rPr>
          <w:rFonts w:ascii="Times New Roman" w:eastAsia="Times New Roman" w:hAnsi="Times New Roman"/>
          <w:b/>
          <w:bCs/>
          <w:color w:val="000000" w:themeColor="text1"/>
          <w:sz w:val="26"/>
          <w:szCs w:val="26"/>
        </w:rPr>
        <w:t>futuros</w:t>
      </w:r>
      <w:r>
        <w:rPr>
          <w:rFonts w:ascii="Times New Roman" w:eastAsia="Times New Roman" w:hAnsi="Times New Roman"/>
          <w:color w:val="000000" w:themeColor="text1"/>
          <w:sz w:val="26"/>
          <w:szCs w:val="26"/>
        </w:rPr>
        <w:t>, a partir da decisão definitiva que envolva, mediante notificação individual, o servidor prejudicado. Logo, não há de se cogitar o corte ou a retroatividade compensatória.</w:t>
      </w:r>
    </w:p>
    <w:p w14:paraId="63B9225D"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5068263F" w14:textId="61BF7268" w:rsidR="00AB2576" w:rsidRDefault="0075341A"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3</w:t>
      </w:r>
      <w:r w:rsidR="00AB2576">
        <w:rPr>
          <w:rFonts w:ascii="Times New Roman" w:eastAsia="Times New Roman" w:hAnsi="Times New Roman"/>
          <w:b/>
          <w:bCs/>
          <w:color w:val="000000" w:themeColor="text1"/>
          <w:sz w:val="26"/>
          <w:szCs w:val="26"/>
        </w:rPr>
        <w:t xml:space="preserve">.2. </w:t>
      </w:r>
      <w:r w:rsidR="00AB2576">
        <w:rPr>
          <w:rFonts w:ascii="Times New Roman" w:eastAsia="Times New Roman" w:hAnsi="Times New Roman"/>
          <w:b/>
          <w:bCs/>
          <w:color w:val="000000" w:themeColor="text1"/>
          <w:sz w:val="26"/>
          <w:szCs w:val="26"/>
          <w:u w:val="single"/>
        </w:rPr>
        <w:t>Outros precedentes judiciais pela decadência, legalidade ou compensação futura da VPNI dos Oficiais de Justiça Avaliadores Federais</w:t>
      </w:r>
    </w:p>
    <w:p w14:paraId="46901E45"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21E61FAD"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O equivocado entendimento da Corte de Contas no Acórdão 2.784/2016 apontou a impossibilidade de manter o ato de aposentadoria de alguns Oficiais de Justiça Avaliadores Federais vinculados ao Tribunal Regional Federal da 2ª Região, com a percepção conjunta da GAE e da VPNI decorrente de quintos, quando estes têm origem</w:t>
      </w:r>
      <w:r>
        <w:rPr>
          <w:rFonts w:cs="Calibri"/>
          <w:color w:val="000000" w:themeColor="text1"/>
        </w:rPr>
        <w:t xml:space="preserve"> </w:t>
      </w:r>
      <w:r>
        <w:rPr>
          <w:rFonts w:ascii="Times New Roman" w:eastAsia="Times New Roman" w:hAnsi="Times New Roman"/>
          <w:color w:val="000000" w:themeColor="text1"/>
          <w:sz w:val="26"/>
          <w:szCs w:val="26"/>
        </w:rPr>
        <w:t>na Função Comissionada de nível 5 ou Gratificação de Representação de Gabinete (GRG).</w:t>
      </w:r>
    </w:p>
    <w:p w14:paraId="1459E4D3"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57AC363D"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Em mandado de segurança coletivo impetrado pelo </w:t>
      </w:r>
      <w:proofErr w:type="spellStart"/>
      <w:r>
        <w:rPr>
          <w:rFonts w:ascii="Times New Roman" w:eastAsia="Times New Roman" w:hAnsi="Times New Roman"/>
          <w:color w:val="000000" w:themeColor="text1"/>
          <w:sz w:val="26"/>
          <w:szCs w:val="26"/>
        </w:rPr>
        <w:t>Sindjufe-MS</w:t>
      </w:r>
      <w:proofErr w:type="spellEnd"/>
      <w:r>
        <w:rPr>
          <w:rFonts w:ascii="Times New Roman" w:eastAsia="Times New Roman" w:hAnsi="Times New Roman"/>
          <w:color w:val="000000" w:themeColor="text1"/>
          <w:sz w:val="26"/>
          <w:szCs w:val="26"/>
        </w:rPr>
        <w:t xml:space="preserve">, o </w:t>
      </w:r>
      <w:r>
        <w:rPr>
          <w:rFonts w:ascii="Times New Roman" w:eastAsia="Times New Roman" w:hAnsi="Times New Roman"/>
          <w:b/>
          <w:bCs/>
          <w:color w:val="000000" w:themeColor="text1"/>
          <w:sz w:val="26"/>
          <w:szCs w:val="26"/>
        </w:rPr>
        <w:t>TRT da 24ª Região</w:t>
      </w:r>
      <w:r>
        <w:rPr>
          <w:rFonts w:ascii="Times New Roman" w:eastAsia="Times New Roman" w:hAnsi="Times New Roman"/>
          <w:color w:val="000000" w:themeColor="text1"/>
          <w:sz w:val="26"/>
          <w:szCs w:val="26"/>
        </w:rPr>
        <w:t xml:space="preserve"> concedeu a segurança no julgamento do MS n° </w:t>
      </w:r>
      <w:r>
        <w:rPr>
          <w:rFonts w:ascii="Times New Roman" w:eastAsia="Times New Roman" w:hAnsi="Times New Roman"/>
          <w:b/>
          <w:bCs/>
          <w:color w:val="000000" w:themeColor="text1"/>
          <w:sz w:val="26"/>
          <w:szCs w:val="26"/>
        </w:rPr>
        <w:t>0024015-44.2020.5.24.0000</w:t>
      </w:r>
      <w:r>
        <w:rPr>
          <w:rFonts w:ascii="Times New Roman" w:eastAsia="Times New Roman" w:hAnsi="Times New Roman"/>
          <w:color w:val="000000" w:themeColor="text1"/>
          <w:sz w:val="26"/>
          <w:szCs w:val="26"/>
        </w:rPr>
        <w:t xml:space="preserve">, adotando o mesmo posicionamento do STF no MS 36869. Portanto, determinou a manutenção do pagamento da VPNI até a absorção por reajustes </w:t>
      </w:r>
      <w:r>
        <w:rPr>
          <w:rFonts w:ascii="Times New Roman" w:eastAsia="Times New Roman" w:hAnsi="Times New Roman"/>
          <w:b/>
          <w:bCs/>
          <w:color w:val="000000" w:themeColor="text1"/>
          <w:sz w:val="26"/>
          <w:szCs w:val="26"/>
        </w:rPr>
        <w:t>futuros</w:t>
      </w:r>
      <w:r>
        <w:rPr>
          <w:rFonts w:ascii="Times New Roman" w:eastAsia="Times New Roman" w:hAnsi="Times New Roman"/>
          <w:color w:val="000000" w:themeColor="text1"/>
          <w:sz w:val="26"/>
          <w:szCs w:val="26"/>
        </w:rPr>
        <w:t>, inadmitindo a “absorção retroativa”. Assim disse o voto condutor do acórdão do TRT24:</w:t>
      </w:r>
    </w:p>
    <w:p w14:paraId="04A995DC" w14:textId="77777777" w:rsidR="00AB2576" w:rsidRDefault="00AB2576" w:rsidP="00AB2576">
      <w:pPr>
        <w:spacing w:after="0" w:line="240" w:lineRule="auto"/>
        <w:ind w:left="1701" w:firstLine="1695"/>
        <w:jc w:val="both"/>
        <w:rPr>
          <w:rFonts w:ascii="Times New Roman" w:eastAsia="Times New Roman" w:hAnsi="Times New Roman"/>
          <w:color w:val="000000" w:themeColor="text1"/>
        </w:rPr>
      </w:pPr>
    </w:p>
    <w:p w14:paraId="78E6C846"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Ademais, até a decisão proferida no Procedimento Administrativo n. 17.293/2019, o entendimento deste Tribunal Regional do Trabalho era o de que a parcela geradora do VPNI possuía natureza jurídica de função comissionada, e não de gratificação. Por tais motivos, considero, até mesmo com motivação isonômica, </w:t>
      </w:r>
      <w:r>
        <w:rPr>
          <w:rFonts w:ascii="Times New Roman" w:eastAsia="Times New Roman" w:hAnsi="Times New Roman"/>
          <w:b/>
          <w:bCs/>
          <w:color w:val="000000" w:themeColor="text1"/>
        </w:rPr>
        <w:t>considero aplicável ao caso a modulação de efeitos concretizada pelo Supremo Tribunal Federal na decisão proferida no RE 638.115-ED-ED, no sentido de que "aqueles que continuam recebendo até a presente data em razão de decisão administrativa tenham o pagamento mantido até sua absorção integral por quaisquer reajustes futuros concedidos aos servidores".</w:t>
      </w:r>
      <w:r>
        <w:rPr>
          <w:rFonts w:ascii="Times New Roman" w:eastAsia="Times New Roman" w:hAnsi="Times New Roman"/>
          <w:color w:val="000000" w:themeColor="text1"/>
        </w:rPr>
        <w:t xml:space="preserve"> Destarte, por considerar aplicável ao caso a modulação de efeitos realizada pelo Excelso Supremo Tribunal Federal CONCEDO a segurança para, ao revés da abrupta interrupção do pagamento da parcela incorporada, seja ela absorvida pelos futuros reajustes salariais concedidos aos servidores do Poder Judiciário em </w:t>
      </w:r>
      <w:proofErr w:type="gramStart"/>
      <w:r>
        <w:rPr>
          <w:rFonts w:ascii="Times New Roman" w:eastAsia="Times New Roman" w:hAnsi="Times New Roman"/>
          <w:color w:val="000000" w:themeColor="text1"/>
        </w:rPr>
        <w:t>geral.”</w:t>
      </w:r>
      <w:proofErr w:type="gramEnd"/>
    </w:p>
    <w:p w14:paraId="489E1DD7"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(TRT24, Pleno, Processo nº 0024015-44.2020.5.24.0000 – </w:t>
      </w:r>
      <w:proofErr w:type="spellStart"/>
      <w:r>
        <w:rPr>
          <w:rFonts w:ascii="Times New Roman" w:eastAsia="Times New Roman" w:hAnsi="Times New Roman"/>
          <w:color w:val="000000" w:themeColor="text1"/>
        </w:rPr>
        <w:t>MSCol</w:t>
      </w:r>
      <w:proofErr w:type="spellEnd"/>
      <w:r>
        <w:rPr>
          <w:rFonts w:ascii="Times New Roman" w:eastAsia="Times New Roman" w:hAnsi="Times New Roman"/>
          <w:color w:val="000000" w:themeColor="text1"/>
        </w:rPr>
        <w:t>, julgado em 09/07/2020)</w:t>
      </w:r>
    </w:p>
    <w:p w14:paraId="74EB970C"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0D0E8E50"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Na</w:t>
      </w:r>
      <w:r>
        <w:rPr>
          <w:rFonts w:ascii="Times New Roman" w:eastAsia="Times New Roman" w:hAnsi="Times New Roman"/>
          <w:b/>
          <w:bCs/>
          <w:color w:val="000000" w:themeColor="text1"/>
          <w:sz w:val="26"/>
          <w:szCs w:val="26"/>
        </w:rPr>
        <w:t xml:space="preserve"> Seção Judiciária do Ceará, </w:t>
      </w:r>
      <w:r>
        <w:rPr>
          <w:rFonts w:ascii="Times New Roman" w:eastAsia="Times New Roman" w:hAnsi="Times New Roman"/>
          <w:color w:val="000000" w:themeColor="text1"/>
          <w:sz w:val="26"/>
          <w:szCs w:val="26"/>
        </w:rPr>
        <w:t>o processo</w:t>
      </w:r>
      <w:r>
        <w:rPr>
          <w:rFonts w:ascii="Times New Roman" w:eastAsia="Times New Roman" w:hAnsi="Times New Roman"/>
          <w:b/>
          <w:bCs/>
          <w:color w:val="000000" w:themeColor="text1"/>
          <w:sz w:val="26"/>
          <w:szCs w:val="26"/>
        </w:rPr>
        <w:t xml:space="preserve"> 0520587-27.2018.4.05.8100S</w:t>
      </w:r>
      <w:r>
        <w:rPr>
          <w:rFonts w:ascii="Times New Roman" w:eastAsia="Times New Roman" w:hAnsi="Times New Roman"/>
          <w:color w:val="000000" w:themeColor="text1"/>
          <w:sz w:val="26"/>
          <w:szCs w:val="26"/>
        </w:rPr>
        <w:t xml:space="preserve"> teve sentença de procedência transitada em julgado, onde foi considerado que a GAE possui vedação legal para percepção durante efetivo exercício de função comissionada ou cargo em comissão, enquanto a VPNI foi incorporada antes da criação da GAE, portanto não se configura como exercício de função comissionada e, devido a isso, é possível a cumulação das duas rubricas.</w:t>
      </w:r>
    </w:p>
    <w:p w14:paraId="02765CB9"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11CFC78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Na </w:t>
      </w:r>
      <w:r>
        <w:rPr>
          <w:rFonts w:ascii="Times New Roman" w:eastAsia="Times New Roman" w:hAnsi="Times New Roman"/>
          <w:b/>
          <w:bCs/>
          <w:color w:val="000000" w:themeColor="text1"/>
          <w:sz w:val="26"/>
          <w:szCs w:val="26"/>
        </w:rPr>
        <w:t xml:space="preserve">Seção Judiciária do Distrito Federal </w:t>
      </w:r>
      <w:r>
        <w:rPr>
          <w:rFonts w:ascii="Times New Roman" w:eastAsia="Times New Roman" w:hAnsi="Times New Roman"/>
          <w:color w:val="000000" w:themeColor="text1"/>
          <w:sz w:val="26"/>
          <w:szCs w:val="26"/>
        </w:rPr>
        <w:t>(6ª Vara Cível), o                      processo</w:t>
      </w:r>
      <w:r>
        <w:rPr>
          <w:rFonts w:ascii="Times New Roman" w:eastAsia="Times New Roman" w:hAnsi="Times New Roman"/>
          <w:b/>
          <w:bCs/>
          <w:color w:val="000000" w:themeColor="text1"/>
          <w:sz w:val="26"/>
          <w:szCs w:val="26"/>
        </w:rPr>
        <w:t xml:space="preserve"> 1013833-87.2020.4.01.3400</w:t>
      </w:r>
      <w:r>
        <w:rPr>
          <w:rFonts w:ascii="Times New Roman" w:eastAsia="Times New Roman" w:hAnsi="Times New Roman"/>
          <w:color w:val="000000" w:themeColor="text1"/>
          <w:sz w:val="26"/>
          <w:szCs w:val="26"/>
        </w:rPr>
        <w:t xml:space="preserve"> teve sentença de procedência para reconhecer a </w:t>
      </w:r>
      <w:r>
        <w:rPr>
          <w:rFonts w:ascii="Times New Roman" w:eastAsia="Times New Roman" w:hAnsi="Times New Roman"/>
          <w:b/>
          <w:bCs/>
          <w:color w:val="000000" w:themeColor="text1"/>
          <w:sz w:val="26"/>
          <w:szCs w:val="26"/>
        </w:rPr>
        <w:t>decadência</w:t>
      </w:r>
      <w:r>
        <w:rPr>
          <w:rFonts w:ascii="Times New Roman" w:eastAsia="Times New Roman" w:hAnsi="Times New Roman"/>
          <w:color w:val="000000" w:themeColor="text1"/>
          <w:sz w:val="26"/>
          <w:szCs w:val="26"/>
        </w:rPr>
        <w:t xml:space="preserve"> do direito de a administração pública cortar a parcela de VPNI recebida conjuntamente com a GAE. Diz a sentença:                                                                                                                      </w:t>
      </w:r>
    </w:p>
    <w:p w14:paraId="6B2640DD"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35933F51" w14:textId="77777777" w:rsidR="00AB2576" w:rsidRDefault="00AB2576" w:rsidP="00AB2576">
      <w:pPr>
        <w:spacing w:after="0" w:line="240" w:lineRule="auto"/>
        <w:ind w:left="1701" w:right="15" w:hanging="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"Contudo, o recebimento dessas verbas está protegido pela segurança jurídica, e as conclusões acima assinaladas deveriam ter sido aventadas no prazo </w:t>
      </w:r>
      <w:r>
        <w:rPr>
          <w:rFonts w:ascii="Times New Roman" w:eastAsia="Times New Roman" w:hAnsi="Times New Roman"/>
          <w:color w:val="000000" w:themeColor="text1"/>
        </w:rPr>
        <w:lastRenderedPageBreak/>
        <w:t>decadencial. Como já assinalado, os quintos incorporados, transformados em VPNI, e a GAE são pagos, cumulativamente, há mais de 5 (cinco) anos, de forma contínua e ininterrupta, desde a edição da Lei 11.416, de 2006. Nada impedia que a Administração Pública exercesse a autotutela, desde que no prazo decadencial previsto no parágrafo primeiro do artigo 54 da Lei 9.784/1999: [...]</w:t>
      </w:r>
    </w:p>
    <w:p w14:paraId="6CF0E8F4" w14:textId="77777777" w:rsidR="00AB2576" w:rsidRDefault="00AB2576" w:rsidP="00AB2576">
      <w:pPr>
        <w:spacing w:after="0" w:line="240" w:lineRule="auto"/>
        <w:ind w:left="1701" w:right="15" w:hanging="6"/>
        <w:jc w:val="both"/>
        <w:rPr>
          <w:rFonts w:ascii="Times New Roman" w:eastAsia="Times New Roman" w:hAnsi="Times New Roman"/>
          <w:color w:val="000000" w:themeColor="text1"/>
        </w:rPr>
      </w:pPr>
    </w:p>
    <w:p w14:paraId="7125D35F" w14:textId="77777777" w:rsidR="00AB2576" w:rsidRDefault="00AB2576" w:rsidP="00AB2576">
      <w:pPr>
        <w:spacing w:after="0" w:line="240" w:lineRule="auto"/>
        <w:ind w:left="1701" w:right="15" w:hanging="6"/>
        <w:jc w:val="both"/>
        <w:rPr>
          <w:rFonts w:ascii="Times New Roman" w:eastAsia="Times New Roman" w:hAnsi="Times New Roman"/>
          <w:color w:val="000000" w:themeColor="text1"/>
        </w:rPr>
      </w:pPr>
      <w:r>
        <w:rPr>
          <w:rFonts w:ascii="Times New Roman" w:eastAsia="Times New Roman" w:hAnsi="Times New Roman"/>
          <w:color w:val="000000" w:themeColor="text1"/>
        </w:rPr>
        <w:t>DISPOSITIVO</w:t>
      </w:r>
    </w:p>
    <w:p w14:paraId="532AD1BB" w14:textId="77777777" w:rsidR="00AB2576" w:rsidRDefault="00AB2576" w:rsidP="00AB2576">
      <w:pPr>
        <w:spacing w:after="0" w:line="240" w:lineRule="auto"/>
        <w:ind w:left="1701" w:right="15" w:hanging="6"/>
        <w:jc w:val="both"/>
        <w:rPr>
          <w:rFonts w:ascii="Times New Roman" w:eastAsia="Times New Roman" w:hAnsi="Times New Roman"/>
          <w:color w:val="000000" w:themeColor="text1"/>
        </w:rPr>
      </w:pPr>
    </w:p>
    <w:p w14:paraId="2CBCD444" w14:textId="77777777" w:rsidR="00AB2576" w:rsidRDefault="00AB2576" w:rsidP="00AB2576">
      <w:pPr>
        <w:spacing w:after="0" w:line="240" w:lineRule="auto"/>
        <w:ind w:left="1695" w:right="15"/>
        <w:jc w:val="both"/>
        <w:rPr>
          <w:rFonts w:ascii="Times New Roman" w:eastAsia="Times New Roman" w:hAnsi="Times New Roman"/>
          <w:color w:val="000000" w:themeColor="text1"/>
        </w:rPr>
      </w:pPr>
      <w:r>
        <w:rPr>
          <w:rFonts w:ascii="Times New Roman" w:eastAsia="Times New Roman" w:hAnsi="Times New Roman"/>
          <w:color w:val="000000" w:themeColor="text1"/>
        </w:rPr>
        <w:t>Ante o exposto, julgo PROCEDENTE o pedido formulado na Inicial e declaro extinto o processo com resolução do mérito, nos termos do artigo 487, I do Código de Processo Civil de 2015. Declaro o direito do autor à manutenção de acumulação da VPNI, decorrente da incorporação dos quintos, com a GAE, haja vista que tal situação perdura há mais de 5 (cinco) anos. Anulo o ato administrativo que determinou o corte da VPNI, decorrente da incorporação dos quintos. Condeno a União Federal ao restabelecimento do pagamento cumulado da VPNI com a GAE, bem como ao pagamento dos valores retroativos devidos em razão do direito declarado, acrescido de juros de mora e correção monetária, nos termos da Lei.</w:t>
      </w:r>
    </w:p>
    <w:p w14:paraId="63280CAB"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127ADF6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Como visto, além de acórdãos específicos no MS 36869, do Supremo Tribunal Federal, outros processos judiciais obtiveram decisões contrárias ao que determina o TCU, atestando a controvérsia que permeia a matéria e reforçando a necessidade de rejeição dos indícios de ilegalidade ou, pelo menos, a suspensão dos processos administrativos em tramitação até que a matéria se consolide na representação em andamento na Corte de Contas.</w:t>
      </w:r>
    </w:p>
    <w:p w14:paraId="0ED93FBF"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3F6F473F" w14:textId="74D5B0E0" w:rsidR="00AB2576" w:rsidRDefault="0075341A" w:rsidP="00AB257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3</w:t>
      </w:r>
      <w:r w:rsidR="00AB2576">
        <w:rPr>
          <w:rFonts w:ascii="Times New Roman" w:eastAsia="Times New Roman" w:hAnsi="Times New Roman"/>
          <w:b/>
          <w:bCs/>
          <w:color w:val="000000" w:themeColor="text1"/>
          <w:sz w:val="26"/>
          <w:szCs w:val="26"/>
        </w:rPr>
        <w:t xml:space="preserve">.3. </w:t>
      </w:r>
      <w:r w:rsidR="00AB2576">
        <w:rPr>
          <w:rFonts w:ascii="Times New Roman" w:eastAsia="Times New Roman" w:hAnsi="Times New Roman"/>
          <w:b/>
          <w:bCs/>
          <w:color w:val="000000" w:themeColor="text1"/>
          <w:sz w:val="26"/>
          <w:szCs w:val="26"/>
          <w:u w:val="single"/>
        </w:rPr>
        <w:t>Precedentes administrativos pela decadência, legalidade ou compensação futura da VPNI dos Oficiais de Justiça Avaliadores Federais</w:t>
      </w:r>
    </w:p>
    <w:p w14:paraId="2B0D12F4" w14:textId="77777777" w:rsidR="00AB2576" w:rsidRDefault="00AB2576" w:rsidP="00AB2576">
      <w:pPr>
        <w:spacing w:after="0" w:line="240" w:lineRule="auto"/>
        <w:jc w:val="both"/>
        <w:rPr>
          <w:rFonts w:ascii="Times New Roman" w:eastAsia="Times New Roman" w:hAnsi="Times New Roman"/>
          <w:color w:val="000000" w:themeColor="text1"/>
          <w:sz w:val="26"/>
          <w:szCs w:val="26"/>
        </w:rPr>
      </w:pPr>
    </w:p>
    <w:p w14:paraId="2F9CF707"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Recentemente, ao apreciar as notificações encaminhadas pelo TCU, o Pleno do </w:t>
      </w:r>
      <w:r>
        <w:rPr>
          <w:rFonts w:ascii="Times New Roman" w:eastAsia="Times New Roman" w:hAnsi="Times New Roman"/>
          <w:b/>
          <w:bCs/>
          <w:color w:val="000000" w:themeColor="text1"/>
          <w:sz w:val="26"/>
          <w:szCs w:val="26"/>
        </w:rPr>
        <w:t>Tribunal Regional do Trabalho a 11ª Região</w:t>
      </w:r>
      <w:r>
        <w:rPr>
          <w:rFonts w:ascii="Times New Roman" w:eastAsia="Times New Roman" w:hAnsi="Times New Roman"/>
          <w:color w:val="000000" w:themeColor="text1"/>
          <w:sz w:val="26"/>
          <w:szCs w:val="26"/>
        </w:rPr>
        <w:t xml:space="preserve"> concluiu pela incidência da decadência do artigo 54 da Lei 9.784, de 1999, prejudicando qualquer outra análise superveniente. O acórdão plenário foi produzido no julgamento de recurso administrativo nos autos do </w:t>
      </w:r>
      <w:r>
        <w:rPr>
          <w:rFonts w:ascii="Times New Roman" w:eastAsia="Times New Roman" w:hAnsi="Times New Roman"/>
          <w:b/>
          <w:bCs/>
          <w:color w:val="000000" w:themeColor="text1"/>
          <w:sz w:val="26"/>
          <w:szCs w:val="26"/>
        </w:rPr>
        <w:t>Processo TRT MA-46/2020</w:t>
      </w:r>
      <w:r>
        <w:rPr>
          <w:rFonts w:ascii="Times New Roman" w:eastAsia="Times New Roman" w:hAnsi="Times New Roman"/>
          <w:color w:val="000000" w:themeColor="text1"/>
          <w:sz w:val="26"/>
          <w:szCs w:val="26"/>
        </w:rPr>
        <w:t xml:space="preserve">, reconhecendo que a verba já foi incorporada definitivamente ao patrimônio jurídico dos Oficiais de Justiça Avaliadores Federais, vez que alcançada pelo instituto da decadência, conforme a ementa abaixo: </w:t>
      </w:r>
    </w:p>
    <w:p w14:paraId="33BD9FF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0CAE60BC" w14:textId="77777777" w:rsidR="00AB2576" w:rsidRDefault="00AB2576" w:rsidP="00AB2576">
      <w:pPr>
        <w:spacing w:after="0" w:line="240" w:lineRule="auto"/>
        <w:ind w:left="1701" w:right="15" w:hanging="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REVISÃO DE ATO ADMINISTRATIVO. PODER DE AUTOTUTELA. Que </w:t>
      </w:r>
      <w:proofErr w:type="gramStart"/>
      <w:r>
        <w:rPr>
          <w:rFonts w:ascii="Times New Roman" w:eastAsia="Times New Roman" w:hAnsi="Times New Roman"/>
          <w:color w:val="000000" w:themeColor="text1"/>
        </w:rPr>
        <w:t>dando-se</w:t>
      </w:r>
      <w:proofErr w:type="gramEnd"/>
      <w:r>
        <w:rPr>
          <w:rFonts w:ascii="Times New Roman" w:eastAsia="Times New Roman" w:hAnsi="Times New Roman"/>
          <w:color w:val="000000" w:themeColor="text1"/>
        </w:rPr>
        <w:t xml:space="preserve"> inerte, a DA ADMINISTRAÇÃO. PRAZO DECADENCIAL administração pública, por mais de uma década quanto ao pagamento de parcelas de natureza alimentar ao administrado, fez com que a verba se tornasse incorporada de forma definitiva ao seu patrimônio, porque recebida de boa-fé pelo servidor, estabilizando-se a relação jurídico-administrativa.  Nesse contexto, impositivo é reconhecer-se a decadência do direito da Administração em rever os efeitos da má interpretação do ato administrativo por ele proferido, prevalecendo, </w:t>
      </w:r>
      <w:r>
        <w:rPr>
          <w:rFonts w:ascii="Times New Roman" w:eastAsia="Times New Roman" w:hAnsi="Times New Roman"/>
          <w:color w:val="000000" w:themeColor="text1"/>
        </w:rPr>
        <w:lastRenderedPageBreak/>
        <w:t>no caso, a segurança jurídica em detrimento da legalidade da atuação administrativa. Recurso provido.</w:t>
      </w:r>
    </w:p>
    <w:p w14:paraId="18C1C0E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5C11FEA9"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mesmo ocorreu no </w:t>
      </w:r>
      <w:r>
        <w:rPr>
          <w:rFonts w:ascii="Times New Roman" w:eastAsia="Times New Roman" w:hAnsi="Times New Roman"/>
          <w:b/>
          <w:bCs/>
          <w:color w:val="000000" w:themeColor="text1"/>
          <w:sz w:val="26"/>
          <w:szCs w:val="26"/>
        </w:rPr>
        <w:t>Tribunal Regional do Trabalho da 17ª Região</w:t>
      </w:r>
      <w:r>
        <w:rPr>
          <w:rFonts w:ascii="Times New Roman" w:eastAsia="Times New Roman" w:hAnsi="Times New Roman"/>
          <w:color w:val="000000" w:themeColor="text1"/>
          <w:sz w:val="26"/>
          <w:szCs w:val="26"/>
        </w:rPr>
        <w:t>, em decisão igualmente recente:</w:t>
      </w:r>
    </w:p>
    <w:p w14:paraId="396381B2" w14:textId="77777777"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p>
    <w:p w14:paraId="39735D82"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REFERÊNCIA: </w:t>
      </w:r>
      <w:r>
        <w:rPr>
          <w:rFonts w:ascii="Times New Roman" w:eastAsia="Times New Roman" w:hAnsi="Times New Roman"/>
          <w:b/>
          <w:bCs/>
          <w:color w:val="000000" w:themeColor="text1"/>
        </w:rPr>
        <w:t>PA 0000190-21.2020.5.17.0500</w:t>
      </w:r>
    </w:p>
    <w:p w14:paraId="19D727E2"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1.Acolho as manifestações do SEDIV e da Assessoria Jurídica e reconheço a decadência do direito da Administração de invalidar os atos de incorporação dos quintos/décimos da função comissionada FC Executante de Mandados na remuneração da servidora Deise Mara da Cunha, com fulcro no art. 54da Lei n. 9.784/99.</w:t>
      </w:r>
    </w:p>
    <w:p w14:paraId="6E21D2E7"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2.À SGP, para ciência da servidora interessada. </w:t>
      </w:r>
    </w:p>
    <w:p w14:paraId="22A4E4E7"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3.À Divisão de Controle Interno, para providenciar a ciência ao TCU, por meio do sistema e-pessoal, remetendo cópia do processo administrativo individual.</w:t>
      </w:r>
    </w:p>
    <w:p w14:paraId="2AEE247F"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0CFAE6EB"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 </w:t>
      </w:r>
      <w:r>
        <w:rPr>
          <w:rFonts w:ascii="Times New Roman" w:eastAsia="Times New Roman" w:hAnsi="Times New Roman"/>
          <w:b/>
          <w:bCs/>
          <w:color w:val="000000" w:themeColor="text1"/>
          <w:sz w:val="26"/>
          <w:szCs w:val="26"/>
        </w:rPr>
        <w:t>Tribunal Regional do trabalho da 4ª Região</w:t>
      </w:r>
      <w:r>
        <w:rPr>
          <w:rFonts w:ascii="Times New Roman" w:eastAsia="Times New Roman" w:hAnsi="Times New Roman"/>
          <w:color w:val="000000" w:themeColor="text1"/>
          <w:sz w:val="26"/>
          <w:szCs w:val="26"/>
        </w:rPr>
        <w:t xml:space="preserve"> também entendeu como descaracterizados os indícios e acolheu inteiramente o entendimento da área técnica e da Direção Geral, quando da análise do </w:t>
      </w:r>
      <w:r>
        <w:rPr>
          <w:rFonts w:ascii="Times New Roman" w:eastAsia="Times New Roman" w:hAnsi="Times New Roman"/>
          <w:b/>
          <w:bCs/>
          <w:color w:val="000000" w:themeColor="text1"/>
          <w:sz w:val="26"/>
          <w:szCs w:val="26"/>
        </w:rPr>
        <w:t>PROAD nº 3717/2019</w:t>
      </w:r>
      <w:r>
        <w:rPr>
          <w:rFonts w:ascii="Times New Roman" w:eastAsia="Times New Roman" w:hAnsi="Times New Roman"/>
          <w:color w:val="000000" w:themeColor="text1"/>
          <w:sz w:val="26"/>
          <w:szCs w:val="26"/>
        </w:rPr>
        <w:t>. Segundo o parecer da Diretoria-Geral:</w:t>
      </w:r>
    </w:p>
    <w:p w14:paraId="1079837D"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20B61C24" w14:textId="77777777" w:rsidR="00AB2576" w:rsidRDefault="00AB2576" w:rsidP="00AB2576">
      <w:pPr>
        <w:spacing w:after="0" w:line="240" w:lineRule="auto"/>
        <w:ind w:left="1701" w:hanging="6"/>
        <w:jc w:val="both"/>
        <w:rPr>
          <w:rFonts w:ascii="Times New Roman" w:eastAsia="Times New Roman" w:hAnsi="Times New Roman"/>
          <w:color w:val="000000" w:themeColor="text1"/>
        </w:rPr>
      </w:pPr>
      <w:r>
        <w:rPr>
          <w:rFonts w:ascii="Times New Roman" w:eastAsia="Times New Roman" w:hAnsi="Times New Roman"/>
          <w:color w:val="000000" w:themeColor="text1"/>
        </w:rPr>
        <w:t>Surpreende que o entendimento adotado no voto acolhido no Acórdão TCU nº 2784/2016 - Plenário, em especial nos seus tópicos 8 e 13, coloque em dúvida   a   legalidade   da   incorporação   de   quintos   pelo   exercício   da   função   de Executante de Mandados FC-5, ao argumento de que o encargo tem natureza de gratificação, pois valoriza atribuições inerentes ao cargo efetivo ocupado por todos os servidores Oficiais de Justiça Avaliadores Federais. Isso porque não se tem notícia deque a incorporação de frações de quintos da função de Executante de Mandados pelos servidores que a exerceram tenha sido contestada ou julgada imprópria em algum momento pretérito pelo Tribunal de Contas da União, com fundamento na natureza das atribuições que foram por ela remuneradas, como mostra a informação complementar anexada às fls. 206-207. E não foram raros os atos concessórios de aposentadoria de Oficiais de Justiça Avaliadores submetidos e aprovados pelo TCU até o presente momento, cujos fundamentos legais incluíam VPNI derivada da função comissionada de Executante de Mandados"</w:t>
      </w:r>
    </w:p>
    <w:p w14:paraId="056260BB" w14:textId="77777777" w:rsidR="00AB2576" w:rsidRDefault="00AB2576" w:rsidP="00AB2576">
      <w:pPr>
        <w:spacing w:after="0" w:line="240" w:lineRule="auto"/>
        <w:ind w:firstLine="1695"/>
        <w:jc w:val="both"/>
        <w:rPr>
          <w:rFonts w:ascii="Times New Roman" w:eastAsia="Times New Roman" w:hAnsi="Times New Roman"/>
          <w:color w:val="000000" w:themeColor="text1"/>
        </w:rPr>
      </w:pPr>
    </w:p>
    <w:p w14:paraId="2A259CA2" w14:textId="77777777" w:rsidR="00AB2576" w:rsidRDefault="00AB2576" w:rsidP="00AB2576">
      <w:pPr>
        <w:spacing w:after="0" w:line="240" w:lineRule="auto"/>
        <w:ind w:right="15"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Em sequência, ainda no PROAD nº 3717/2019, a Presidente do </w:t>
      </w:r>
      <w:r>
        <w:rPr>
          <w:rFonts w:ascii="Times New Roman" w:eastAsia="Times New Roman" w:hAnsi="Times New Roman"/>
          <w:b/>
          <w:bCs/>
          <w:color w:val="000000" w:themeColor="text1"/>
          <w:sz w:val="26"/>
          <w:szCs w:val="26"/>
        </w:rPr>
        <w:t>TRT4</w:t>
      </w:r>
      <w:r>
        <w:rPr>
          <w:rFonts w:ascii="Times New Roman" w:eastAsia="Times New Roman" w:hAnsi="Times New Roman"/>
          <w:color w:val="000000" w:themeColor="text1"/>
          <w:sz w:val="26"/>
          <w:szCs w:val="26"/>
        </w:rPr>
        <w:t xml:space="preserve"> assim se manifestou:</w:t>
      </w:r>
    </w:p>
    <w:p w14:paraId="7FF6BD40" w14:textId="77777777" w:rsidR="00AB2576" w:rsidRDefault="00AB2576" w:rsidP="00AB2576">
      <w:pPr>
        <w:spacing w:after="0" w:line="240" w:lineRule="auto"/>
        <w:ind w:left="1701" w:right="15"/>
        <w:jc w:val="both"/>
        <w:rPr>
          <w:rFonts w:ascii="Times New Roman" w:eastAsia="Times New Roman" w:hAnsi="Times New Roman"/>
          <w:color w:val="000000" w:themeColor="text1"/>
        </w:rPr>
      </w:pPr>
    </w:p>
    <w:p w14:paraId="37C74E9D" w14:textId="77777777" w:rsidR="00AB2576" w:rsidRDefault="00AB2576" w:rsidP="00AB2576">
      <w:pPr>
        <w:spacing w:after="0" w:line="240" w:lineRule="auto"/>
        <w:ind w:left="1701" w:right="15"/>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14:paraId="741FBB5E"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b/>
          <w:bCs/>
          <w:color w:val="000000" w:themeColor="text1"/>
        </w:rPr>
        <w:t>Destaca-se, ainda, que não se trata de revisão de ato flagrantemente inconstitucional, a admitir a não submissão da Administração ao prazo decadencial de 05 anos previsto no artigo 54 da Lei nº 9.784/1999.</w:t>
      </w:r>
    </w:p>
    <w:p w14:paraId="0063F94B"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w:t>
      </w:r>
    </w:p>
    <w:p w14:paraId="165F5457" w14:textId="77777777" w:rsidR="00AB2576" w:rsidRDefault="00AB2576" w:rsidP="00AB2576">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lastRenderedPageBreak/>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w:t>
      </w:r>
    </w:p>
    <w:p w14:paraId="623359E2"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670C17DC"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Por fim, a presidência do </w:t>
      </w:r>
      <w:r>
        <w:rPr>
          <w:rFonts w:ascii="Times New Roman" w:eastAsia="Times New Roman" w:hAnsi="Times New Roman"/>
          <w:b/>
          <w:bCs/>
          <w:color w:val="000000" w:themeColor="text1"/>
          <w:sz w:val="26"/>
          <w:szCs w:val="26"/>
        </w:rPr>
        <w:t>Tribunal Regional do Trabalho da 4ª Região</w:t>
      </w:r>
      <w:r>
        <w:rPr>
          <w:rFonts w:ascii="Times New Roman" w:eastAsia="Times New Roman" w:hAnsi="Times New Roman"/>
          <w:color w:val="000000" w:themeColor="text1"/>
          <w:sz w:val="26"/>
          <w:szCs w:val="26"/>
        </w:rPr>
        <w:t xml:space="preserve"> determinou que o registro dos indícios apontados pelo TCU seja sinalizado como não procedente, por entender que as irregularidades imputadas não se verificam: </w:t>
      </w:r>
    </w:p>
    <w:p w14:paraId="55FC4064"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493F24A1" w14:textId="77777777" w:rsidR="00AB2576" w:rsidRDefault="00AB2576" w:rsidP="00AB2576">
      <w:pPr>
        <w:spacing w:after="0" w:line="240" w:lineRule="auto"/>
        <w:ind w:left="1701" w:hanging="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Com base no exposto, </w:t>
      </w:r>
      <w:r>
        <w:rPr>
          <w:rFonts w:ascii="Times New Roman" w:eastAsia="Times New Roman" w:hAnsi="Times New Roman"/>
          <w:b/>
          <w:bCs/>
          <w:color w:val="000000" w:themeColor="text1"/>
        </w:rPr>
        <w:t xml:space="preserve">entendo não caracterizadas as irregularidades imputadas no sistema e-Pessoal do </w:t>
      </w:r>
      <w:proofErr w:type="gramStart"/>
      <w:r>
        <w:rPr>
          <w:rFonts w:ascii="Times New Roman" w:eastAsia="Times New Roman" w:hAnsi="Times New Roman"/>
          <w:b/>
          <w:bCs/>
          <w:color w:val="000000" w:themeColor="text1"/>
        </w:rPr>
        <w:t>Tribunal  de</w:t>
      </w:r>
      <w:proofErr w:type="gramEnd"/>
      <w:r>
        <w:rPr>
          <w:rFonts w:ascii="Times New Roman" w:eastAsia="Times New Roman" w:hAnsi="Times New Roman"/>
          <w:b/>
          <w:bCs/>
          <w:color w:val="000000" w:themeColor="text1"/>
        </w:rPr>
        <w:t xml:space="preserve"> Contas  da  União  –TCU aos  143 servidores deste Tribunal, ativos e inativos (relacionados às fls. 03-11), que percebem, cumulativamente, parcelas de Gratificação de Atividade Externa – GAE e de Vantagem Pessoal Nominalmente Identificada – VPNI.</w:t>
      </w:r>
    </w:p>
    <w:p w14:paraId="166D0856" w14:textId="77777777" w:rsidR="00AB2576" w:rsidRDefault="00AB2576" w:rsidP="00AB2576">
      <w:pPr>
        <w:spacing w:after="0" w:line="240" w:lineRule="auto"/>
        <w:ind w:left="1695"/>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Diante do exposto, </w:t>
      </w:r>
      <w:r>
        <w:rPr>
          <w:rFonts w:ascii="Times New Roman" w:eastAsia="Times New Roman" w:hAnsi="Times New Roman"/>
          <w:b/>
          <w:bCs/>
          <w:color w:val="000000" w:themeColor="text1"/>
        </w:rPr>
        <w:t xml:space="preserve">em resposta aos indícios apontados pelo TCU (fls. 03-11) e de acordo com o que consta no Manual do Módulo Indícios do “sistema </w:t>
      </w:r>
      <w:proofErr w:type="spellStart"/>
      <w:r>
        <w:rPr>
          <w:rFonts w:ascii="Times New Roman" w:eastAsia="Times New Roman" w:hAnsi="Times New Roman"/>
          <w:b/>
          <w:bCs/>
          <w:color w:val="000000" w:themeColor="text1"/>
        </w:rPr>
        <w:t>ePessoal</w:t>
      </w:r>
      <w:proofErr w:type="spellEnd"/>
      <w:r>
        <w:rPr>
          <w:rFonts w:ascii="Times New Roman" w:eastAsia="Times New Roman" w:hAnsi="Times New Roman"/>
          <w:b/>
          <w:bCs/>
          <w:color w:val="000000" w:themeColor="text1"/>
        </w:rPr>
        <w:t>”, determino:</w:t>
      </w:r>
    </w:p>
    <w:p w14:paraId="6FE58888" w14:textId="77777777" w:rsidR="00AB2576" w:rsidRDefault="00AB2576" w:rsidP="00AB2576">
      <w:pPr>
        <w:spacing w:after="0" w:line="240" w:lineRule="auto"/>
        <w:ind w:left="1701" w:hanging="6"/>
        <w:jc w:val="both"/>
        <w:rPr>
          <w:rFonts w:ascii="Times New Roman" w:eastAsia="Times New Roman" w:hAnsi="Times New Roman"/>
          <w:color w:val="000000" w:themeColor="text1"/>
        </w:rPr>
      </w:pPr>
      <w:r>
        <w:rPr>
          <w:rFonts w:ascii="Times New Roman" w:eastAsia="Times New Roman" w:hAnsi="Times New Roman"/>
          <w:b/>
          <w:bCs/>
          <w:color w:val="000000" w:themeColor="text1"/>
        </w:rPr>
        <w:t xml:space="preserve">a) o registro no sistema e-Pessoal do enquadramento na opção nº 05 - “O indício não procede, </w:t>
      </w:r>
      <w:proofErr w:type="gramStart"/>
      <w:r>
        <w:rPr>
          <w:rFonts w:ascii="Times New Roman" w:eastAsia="Times New Roman" w:hAnsi="Times New Roman"/>
          <w:b/>
          <w:bCs/>
          <w:color w:val="000000" w:themeColor="text1"/>
        </w:rPr>
        <w:t>pois</w:t>
      </w:r>
      <w:proofErr w:type="gramEnd"/>
      <w:r>
        <w:rPr>
          <w:rFonts w:ascii="Times New Roman" w:eastAsia="Times New Roman" w:hAnsi="Times New Roman"/>
          <w:b/>
          <w:bCs/>
          <w:color w:val="000000" w:themeColor="text1"/>
        </w:rPr>
        <w:t xml:space="preserve"> a situação do servidor/pensionista está amparada por outras normas e/ou decisões”;</w:t>
      </w:r>
    </w:p>
    <w:p w14:paraId="53B3B993"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p>
    <w:p w14:paraId="30E31318" w14:textId="77777777" w:rsidR="00AB2576" w:rsidRDefault="00AB2576" w:rsidP="00AB2576">
      <w:pPr>
        <w:spacing w:after="0" w:line="240" w:lineRule="auto"/>
        <w:ind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 Corte de Contas devolveu os indícios, porém, diante da firme posição da presidência daquele Tribunal, o TCU - em manifestação de 24/08/2020 - instruiu o TRT4, para "então solicitamos que nos envie novamente os indícios que se encontram aguardando esclarecimento. Iremos colocá-los na aba ‘Tratado em Processo de Controle Externo’”, o que na prática equivale a sobrestar a apuração do indício até que haja a manifestação do Colegiado do TCU.</w:t>
      </w:r>
    </w:p>
    <w:p w14:paraId="12605FA1"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16416A26"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Na mesma direção do </w:t>
      </w:r>
      <w:r>
        <w:rPr>
          <w:rFonts w:ascii="Times New Roman" w:eastAsia="Times New Roman" w:hAnsi="Times New Roman"/>
          <w:b/>
          <w:bCs/>
          <w:color w:val="000000" w:themeColor="text1"/>
          <w:sz w:val="26"/>
          <w:szCs w:val="26"/>
        </w:rPr>
        <w:t>TRT4</w:t>
      </w:r>
      <w:r>
        <w:rPr>
          <w:rFonts w:ascii="Times New Roman" w:eastAsia="Times New Roman" w:hAnsi="Times New Roman"/>
          <w:color w:val="000000" w:themeColor="text1"/>
          <w:sz w:val="26"/>
          <w:szCs w:val="26"/>
        </w:rPr>
        <w:t xml:space="preserve">, </w:t>
      </w:r>
      <w:r>
        <w:rPr>
          <w:rFonts w:ascii="Times New Roman" w:eastAsia="Times New Roman" w:hAnsi="Times New Roman"/>
          <w:b/>
          <w:bCs/>
          <w:color w:val="000000" w:themeColor="text1"/>
          <w:sz w:val="26"/>
          <w:szCs w:val="26"/>
        </w:rPr>
        <w:t>TRT11</w:t>
      </w:r>
      <w:r>
        <w:rPr>
          <w:rFonts w:ascii="Times New Roman" w:eastAsia="Times New Roman" w:hAnsi="Times New Roman"/>
          <w:color w:val="000000" w:themeColor="text1"/>
          <w:sz w:val="26"/>
          <w:szCs w:val="26"/>
        </w:rPr>
        <w:t xml:space="preserve"> e </w:t>
      </w:r>
      <w:r>
        <w:rPr>
          <w:rFonts w:ascii="Times New Roman" w:eastAsia="Times New Roman" w:hAnsi="Times New Roman"/>
          <w:b/>
          <w:bCs/>
          <w:color w:val="000000" w:themeColor="text1"/>
          <w:sz w:val="26"/>
          <w:szCs w:val="26"/>
        </w:rPr>
        <w:t>TRT17</w:t>
      </w:r>
      <w:r>
        <w:rPr>
          <w:rFonts w:ascii="Times New Roman" w:eastAsia="Times New Roman" w:hAnsi="Times New Roman"/>
          <w:color w:val="000000" w:themeColor="text1"/>
          <w:sz w:val="26"/>
          <w:szCs w:val="26"/>
        </w:rPr>
        <w:t xml:space="preserve"> foram os pareceres das unidades técnicas do </w:t>
      </w:r>
      <w:r>
        <w:rPr>
          <w:rFonts w:ascii="Times New Roman" w:eastAsia="Times New Roman" w:hAnsi="Times New Roman"/>
          <w:b/>
          <w:bCs/>
          <w:color w:val="000000" w:themeColor="text1"/>
          <w:sz w:val="26"/>
          <w:szCs w:val="26"/>
          <w:u w:val="single"/>
        </w:rPr>
        <w:t>TRT10</w:t>
      </w:r>
      <w:r>
        <w:rPr>
          <w:rFonts w:ascii="Times New Roman" w:eastAsia="Times New Roman" w:hAnsi="Times New Roman"/>
          <w:color w:val="000000" w:themeColor="text1"/>
          <w:sz w:val="26"/>
          <w:szCs w:val="26"/>
        </w:rPr>
        <w:t xml:space="preserve"> (processo nº</w:t>
      </w:r>
      <w:r>
        <w:rPr>
          <w:rFonts w:ascii="Times New Roman" w:eastAsia="Times New Roman" w:hAnsi="Times New Roman"/>
          <w:b/>
          <w:bCs/>
          <w:color w:val="000000" w:themeColor="text1"/>
          <w:sz w:val="26"/>
          <w:szCs w:val="26"/>
        </w:rPr>
        <w:t xml:space="preserve"> 0007560-84.2019.5.10.8000</w:t>
      </w:r>
      <w:r>
        <w:rPr>
          <w:rFonts w:ascii="Times New Roman" w:eastAsia="Times New Roman" w:hAnsi="Times New Roman"/>
          <w:color w:val="000000" w:themeColor="text1"/>
          <w:sz w:val="26"/>
          <w:szCs w:val="26"/>
        </w:rPr>
        <w:t>)</w:t>
      </w:r>
      <w:r>
        <w:rPr>
          <w:rFonts w:ascii="Times New Roman" w:eastAsia="Times New Roman" w:hAnsi="Times New Roman"/>
          <w:b/>
          <w:bCs/>
          <w:color w:val="000000" w:themeColor="text1"/>
          <w:sz w:val="26"/>
          <w:szCs w:val="26"/>
        </w:rPr>
        <w:t xml:space="preserve">, </w:t>
      </w:r>
      <w:r>
        <w:rPr>
          <w:rFonts w:ascii="Times New Roman" w:eastAsia="Times New Roman" w:hAnsi="Times New Roman"/>
          <w:b/>
          <w:bCs/>
          <w:color w:val="000000" w:themeColor="text1"/>
          <w:sz w:val="26"/>
          <w:szCs w:val="26"/>
          <w:u w:val="single"/>
        </w:rPr>
        <w:t>TRT15</w:t>
      </w:r>
      <w:r>
        <w:rPr>
          <w:rFonts w:ascii="Times New Roman" w:eastAsia="Times New Roman" w:hAnsi="Times New Roman"/>
          <w:b/>
          <w:bCs/>
          <w:color w:val="000000" w:themeColor="text1"/>
          <w:sz w:val="26"/>
          <w:szCs w:val="26"/>
        </w:rPr>
        <w:t xml:space="preserve"> (</w:t>
      </w:r>
      <w:r>
        <w:rPr>
          <w:rFonts w:ascii="Times New Roman" w:eastAsia="Times New Roman" w:hAnsi="Times New Roman"/>
          <w:color w:val="000000" w:themeColor="text1"/>
          <w:sz w:val="26"/>
          <w:szCs w:val="26"/>
        </w:rPr>
        <w:t xml:space="preserve">protocolo administrativo - </w:t>
      </w:r>
      <w:r>
        <w:rPr>
          <w:rFonts w:ascii="Times New Roman" w:eastAsia="Times New Roman" w:hAnsi="Times New Roman"/>
          <w:b/>
          <w:bCs/>
          <w:color w:val="000000" w:themeColor="text1"/>
          <w:sz w:val="26"/>
          <w:szCs w:val="26"/>
        </w:rPr>
        <w:t>3135/22019-DG</w:t>
      </w:r>
      <w:r>
        <w:rPr>
          <w:rFonts w:ascii="Times New Roman" w:eastAsia="Times New Roman" w:hAnsi="Times New Roman"/>
          <w:color w:val="000000" w:themeColor="text1"/>
          <w:sz w:val="26"/>
          <w:szCs w:val="26"/>
        </w:rPr>
        <w:t>)</w:t>
      </w:r>
      <w:r>
        <w:rPr>
          <w:rFonts w:ascii="Times New Roman" w:eastAsia="Times New Roman" w:hAnsi="Times New Roman"/>
          <w:b/>
          <w:bCs/>
          <w:color w:val="000000" w:themeColor="text1"/>
          <w:sz w:val="26"/>
          <w:szCs w:val="26"/>
        </w:rPr>
        <w:t xml:space="preserve"> e </w:t>
      </w:r>
      <w:r>
        <w:rPr>
          <w:rFonts w:ascii="Times New Roman" w:eastAsia="Times New Roman" w:hAnsi="Times New Roman"/>
          <w:b/>
          <w:bCs/>
          <w:color w:val="000000" w:themeColor="text1"/>
          <w:sz w:val="26"/>
          <w:szCs w:val="26"/>
          <w:u w:val="single"/>
        </w:rPr>
        <w:t>TRT18</w:t>
      </w:r>
      <w:r>
        <w:rPr>
          <w:rFonts w:cs="Calibri"/>
          <w:color w:val="000000" w:themeColor="text1"/>
        </w:rPr>
        <w:t xml:space="preserve"> (</w:t>
      </w:r>
      <w:r>
        <w:rPr>
          <w:rFonts w:ascii="Times New Roman" w:eastAsia="Times New Roman" w:hAnsi="Times New Roman"/>
          <w:color w:val="000000" w:themeColor="text1"/>
          <w:sz w:val="26"/>
          <w:szCs w:val="26"/>
        </w:rPr>
        <w:t>processo administrativo nº</w:t>
      </w:r>
      <w:r>
        <w:rPr>
          <w:rFonts w:ascii="Times New Roman" w:eastAsia="Times New Roman" w:hAnsi="Times New Roman"/>
          <w:b/>
          <w:bCs/>
          <w:color w:val="000000" w:themeColor="text1"/>
          <w:sz w:val="26"/>
          <w:szCs w:val="26"/>
        </w:rPr>
        <w:t xml:space="preserve"> 12235/2019</w:t>
      </w:r>
      <w:r>
        <w:rPr>
          <w:rFonts w:ascii="Times New Roman" w:eastAsia="Times New Roman" w:hAnsi="Times New Roman"/>
          <w:color w:val="000000" w:themeColor="text1"/>
          <w:sz w:val="26"/>
          <w:szCs w:val="26"/>
        </w:rPr>
        <w:t>).</w:t>
      </w:r>
    </w:p>
    <w:p w14:paraId="6691F24B" w14:textId="77777777"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080913D2" w14:textId="14429223"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No </w:t>
      </w:r>
      <w:r>
        <w:rPr>
          <w:rFonts w:ascii="Times New Roman" w:eastAsia="Times New Roman" w:hAnsi="Times New Roman"/>
          <w:b/>
          <w:bCs/>
          <w:color w:val="000000" w:themeColor="text1"/>
          <w:sz w:val="26"/>
          <w:szCs w:val="26"/>
        </w:rPr>
        <w:t>Tribunal Regional Federal da 3ª Região</w:t>
      </w:r>
      <w:r>
        <w:rPr>
          <w:rFonts w:ascii="Times New Roman" w:eastAsia="Times New Roman" w:hAnsi="Times New Roman"/>
          <w:color w:val="000000" w:themeColor="text1"/>
          <w:sz w:val="26"/>
          <w:szCs w:val="26"/>
        </w:rPr>
        <w:t xml:space="preserve">, processo SEI </w:t>
      </w:r>
      <w:r>
        <w:rPr>
          <w:rFonts w:ascii="Times New Roman" w:eastAsia="Times New Roman" w:hAnsi="Times New Roman"/>
          <w:b/>
          <w:bCs/>
          <w:color w:val="000000" w:themeColor="text1"/>
          <w:sz w:val="26"/>
          <w:szCs w:val="26"/>
        </w:rPr>
        <w:t>0034117-87.2019.4.03.8000</w:t>
      </w:r>
      <w:r>
        <w:rPr>
          <w:rFonts w:ascii="Times New Roman" w:eastAsia="Times New Roman" w:hAnsi="Times New Roman"/>
          <w:color w:val="000000" w:themeColor="text1"/>
          <w:sz w:val="26"/>
          <w:szCs w:val="26"/>
        </w:rPr>
        <w:t>, a Diretora da Divisão de Folha de Pagamento, então em exercício, prestou a Informação nº 5054608/2019 – DFOL, após provocação do Tribunal de Contas da União; nela, considerou que o TRF3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14:paraId="58ECFB11" w14:textId="172B6852" w:rsidR="00AB2576" w:rsidRDefault="00AB2576" w:rsidP="00AB2576">
      <w:pPr>
        <w:spacing w:after="0" w:line="240" w:lineRule="auto"/>
        <w:ind w:right="15" w:firstLine="1695"/>
        <w:jc w:val="both"/>
        <w:rPr>
          <w:rFonts w:ascii="Times New Roman" w:eastAsia="Times New Roman" w:hAnsi="Times New Roman"/>
          <w:color w:val="000000" w:themeColor="text1"/>
          <w:sz w:val="26"/>
          <w:szCs w:val="26"/>
        </w:rPr>
      </w:pPr>
    </w:p>
    <w:p w14:paraId="2560AD02" w14:textId="5AD461F8" w:rsidR="00AB2576" w:rsidRDefault="0075341A" w:rsidP="00AB257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4</w:t>
      </w:r>
      <w:r w:rsidR="00AB2576">
        <w:rPr>
          <w:rFonts w:ascii="Times New Roman" w:eastAsia="Times New Roman" w:hAnsi="Times New Roman" w:cs="Times New Roman"/>
          <w:b/>
          <w:sz w:val="26"/>
          <w:szCs w:val="26"/>
        </w:rPr>
        <w:t xml:space="preserve">. </w:t>
      </w:r>
      <w:r w:rsidR="00AB2576">
        <w:rPr>
          <w:rFonts w:ascii="Times New Roman" w:eastAsia="Times New Roman" w:hAnsi="Times New Roman" w:cs="Times New Roman"/>
          <w:b/>
          <w:sz w:val="26"/>
          <w:szCs w:val="26"/>
          <w:u w:val="single"/>
        </w:rPr>
        <w:t>DO EFEITO SUSPENSIVO</w:t>
      </w:r>
    </w:p>
    <w:p w14:paraId="08D9E5DE"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2A543BB5"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efeito suspensivo deve ser atribuído sempre que houver a possibilidade de dano irreparável ao recorrente e seu cabimento está prevista no artigo 109 da Lei 8.112, de 1990 e no artigo 61, parágrafo único, da Lei nº 9.487, de 1999:</w:t>
      </w:r>
    </w:p>
    <w:p w14:paraId="7C836238" w14:textId="77777777" w:rsidR="00AB2576" w:rsidRDefault="00AB2576" w:rsidP="00AB2576">
      <w:pPr>
        <w:spacing w:after="0" w:line="240" w:lineRule="auto"/>
        <w:ind w:left="1701"/>
        <w:jc w:val="both"/>
        <w:rPr>
          <w:rFonts w:ascii="Times New Roman" w:eastAsia="Times New Roman" w:hAnsi="Times New Roman" w:cs="Times New Roman"/>
          <w:szCs w:val="26"/>
        </w:rPr>
      </w:pPr>
    </w:p>
    <w:p w14:paraId="575C0BE2" w14:textId="77777777" w:rsidR="00AB2576" w:rsidRDefault="00AB2576" w:rsidP="00AB2576">
      <w:pPr>
        <w:spacing w:after="0" w:line="240" w:lineRule="auto"/>
        <w:ind w:left="1701"/>
        <w:jc w:val="both"/>
        <w:rPr>
          <w:rFonts w:ascii="Times New Roman" w:eastAsia="Times New Roman" w:hAnsi="Times New Roman" w:cs="Times New Roman"/>
          <w:b/>
          <w:szCs w:val="26"/>
          <w:u w:val="single"/>
        </w:rPr>
      </w:pPr>
      <w:r>
        <w:rPr>
          <w:rFonts w:ascii="Times New Roman" w:eastAsia="Times New Roman" w:hAnsi="Times New Roman" w:cs="Times New Roman"/>
          <w:b/>
          <w:szCs w:val="26"/>
          <w:u w:val="single"/>
        </w:rPr>
        <w:t>Lei nº 8.112, de 1990:</w:t>
      </w:r>
    </w:p>
    <w:p w14:paraId="0140BB97" w14:textId="77777777" w:rsidR="00AB2576" w:rsidRDefault="00AB2576" w:rsidP="00AB2576">
      <w:pPr>
        <w:spacing w:after="0" w:line="240" w:lineRule="auto"/>
        <w:ind w:left="1701"/>
        <w:jc w:val="both"/>
        <w:rPr>
          <w:rFonts w:ascii="Times New Roman" w:eastAsia="Times New Roman" w:hAnsi="Times New Roman" w:cs="Times New Roman"/>
          <w:szCs w:val="26"/>
        </w:rPr>
      </w:pPr>
      <w:r>
        <w:rPr>
          <w:rFonts w:ascii="Times New Roman" w:eastAsia="Times New Roman" w:hAnsi="Times New Roman" w:cs="Times New Roman"/>
          <w:szCs w:val="26"/>
        </w:rPr>
        <w:t>Art. 109. O recurso poderá ser recebido com efeito suspensivo, a juízo da autoridade competente.</w:t>
      </w:r>
    </w:p>
    <w:p w14:paraId="2B694535" w14:textId="77777777" w:rsidR="00AB2576" w:rsidRDefault="00AB2576" w:rsidP="00AB2576">
      <w:pPr>
        <w:spacing w:after="0" w:line="240" w:lineRule="auto"/>
        <w:ind w:left="1701"/>
        <w:jc w:val="both"/>
        <w:rPr>
          <w:rFonts w:ascii="Times New Roman" w:eastAsia="Times New Roman" w:hAnsi="Times New Roman" w:cs="Times New Roman"/>
          <w:szCs w:val="26"/>
        </w:rPr>
      </w:pPr>
    </w:p>
    <w:p w14:paraId="0090C253" w14:textId="77777777" w:rsidR="00AB2576" w:rsidRDefault="00AB2576" w:rsidP="00AB2576">
      <w:pPr>
        <w:spacing w:after="0" w:line="240" w:lineRule="auto"/>
        <w:ind w:left="1701"/>
        <w:jc w:val="both"/>
        <w:rPr>
          <w:rFonts w:ascii="Times New Roman" w:eastAsia="Times New Roman" w:hAnsi="Times New Roman" w:cs="Times New Roman"/>
          <w:b/>
          <w:szCs w:val="26"/>
          <w:u w:val="single"/>
        </w:rPr>
      </w:pPr>
      <w:r>
        <w:rPr>
          <w:rFonts w:ascii="Times New Roman" w:eastAsia="Times New Roman" w:hAnsi="Times New Roman" w:cs="Times New Roman"/>
          <w:b/>
          <w:szCs w:val="26"/>
          <w:u w:val="single"/>
        </w:rPr>
        <w:t>Lei nº 9.487, de 1999:</w:t>
      </w:r>
    </w:p>
    <w:p w14:paraId="4C7B8E61" w14:textId="77777777" w:rsidR="00AB2576" w:rsidRDefault="00AB2576" w:rsidP="00AB2576">
      <w:pPr>
        <w:spacing w:after="0" w:line="240" w:lineRule="auto"/>
        <w:ind w:left="1701"/>
        <w:jc w:val="both"/>
        <w:rPr>
          <w:rFonts w:ascii="Times New Roman" w:eastAsia="Times New Roman" w:hAnsi="Times New Roman" w:cs="Times New Roman"/>
          <w:szCs w:val="26"/>
        </w:rPr>
      </w:pPr>
      <w:r>
        <w:rPr>
          <w:rFonts w:ascii="Times New Roman" w:eastAsia="Times New Roman" w:hAnsi="Times New Roman" w:cs="Times New Roman"/>
          <w:szCs w:val="26"/>
        </w:rPr>
        <w:t>Art. 61. Salvo disposição legal em contrário, o recurso não tem efeito suspensivo.</w:t>
      </w:r>
    </w:p>
    <w:p w14:paraId="3B12057B" w14:textId="77777777" w:rsidR="00AB2576" w:rsidRDefault="00AB2576" w:rsidP="00AB2576">
      <w:pPr>
        <w:spacing w:after="0" w:line="240" w:lineRule="auto"/>
        <w:ind w:left="1701"/>
        <w:jc w:val="both"/>
        <w:rPr>
          <w:rFonts w:ascii="Times New Roman" w:eastAsia="Times New Roman" w:hAnsi="Times New Roman" w:cs="Times New Roman"/>
          <w:szCs w:val="26"/>
        </w:rPr>
      </w:pPr>
      <w:r>
        <w:rPr>
          <w:rFonts w:ascii="Times New Roman" w:eastAsia="Times New Roman" w:hAnsi="Times New Roman" w:cs="Times New Roman"/>
          <w:szCs w:val="26"/>
        </w:rPr>
        <w:t>Parágrafo único. Havendo justo receio de prejuízo de difícil ou incerta reparação decorrente da execução, a autoridade recorrida ou a imediatamente superior poderá, de ofício ou a pedido, dar efeito suspensivo ao recurso.</w:t>
      </w:r>
    </w:p>
    <w:p w14:paraId="3D690C09"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267BB5CC" w14:textId="77777777"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Sendo assim, se mostra primordial suspender os efeitos da decisão recorrida, a fim de evitar danos concretos e irreparáveis, pois, trata-se do corte de parcelas alimentares, cuja ausência pode comprometer o sustento da unidade familiar </w:t>
      </w:r>
      <w:r>
        <w:rPr>
          <w:rFonts w:ascii="Times New Roman" w:eastAsia="Times New Roman" w:hAnsi="Times New Roman" w:cs="Times New Roman"/>
          <w:color w:val="000000" w:themeColor="text1"/>
          <w:sz w:val="26"/>
          <w:szCs w:val="26"/>
        </w:rPr>
        <w:t xml:space="preserve">- sobretudo considerando-se o grave cenário causado pela pandemia do novo </w:t>
      </w:r>
      <w:proofErr w:type="spellStart"/>
      <w:r>
        <w:rPr>
          <w:rFonts w:ascii="Times New Roman" w:eastAsia="Times New Roman" w:hAnsi="Times New Roman" w:cs="Times New Roman"/>
          <w:color w:val="000000" w:themeColor="text1"/>
          <w:sz w:val="26"/>
          <w:szCs w:val="26"/>
        </w:rPr>
        <w:t>coronavírus</w:t>
      </w:r>
      <w:proofErr w:type="spellEnd"/>
      <w:r>
        <w:rPr>
          <w:rFonts w:ascii="Times New Roman" w:eastAsia="Times New Roman" w:hAnsi="Times New Roman" w:cs="Times New Roman"/>
          <w:color w:val="000000" w:themeColor="text1"/>
          <w:sz w:val="26"/>
          <w:szCs w:val="26"/>
        </w:rPr>
        <w:t xml:space="preserve">. Impor uma perda remuneratória relevante (que ultrapassa </w:t>
      </w:r>
      <w:r>
        <w:rPr>
          <w:rFonts w:ascii="Times New Roman" w:eastAsia="Times New Roman" w:hAnsi="Times New Roman" w:cs="Times New Roman"/>
          <w:b/>
          <w:bCs/>
          <w:color w:val="000000" w:themeColor="text1"/>
          <w:sz w:val="26"/>
          <w:szCs w:val="26"/>
        </w:rPr>
        <w:t>R$ 3.000,00 por mês</w:t>
      </w:r>
      <w:r>
        <w:rPr>
          <w:rFonts w:ascii="Times New Roman" w:eastAsia="Times New Roman" w:hAnsi="Times New Roman" w:cs="Times New Roman"/>
          <w:color w:val="000000" w:themeColor="text1"/>
          <w:sz w:val="26"/>
          <w:szCs w:val="26"/>
        </w:rPr>
        <w:t>) é medida gravosa e compromete o sustento dos servidores, que em diversos casos já possuem ente familiar prejudicado pela crise suportada pela iniciativa privada.</w:t>
      </w:r>
    </w:p>
    <w:p w14:paraId="44A910C4" w14:textId="2F0AC0A0"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4A8C7458" w14:textId="1F782431" w:rsidR="00AB2576" w:rsidRDefault="00AB2576" w:rsidP="00AB2576">
      <w:pPr>
        <w:spacing w:after="0" w:line="240" w:lineRule="auto"/>
        <w:ind w:firstLine="17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Ademais, como visto, ainda pende de julgamento pelo Tribunal de Contas da União a Representação, resultante no processo nº </w:t>
      </w:r>
      <w:r>
        <w:rPr>
          <w:rFonts w:ascii="Times New Roman" w:eastAsia="Times New Roman" w:hAnsi="Times New Roman"/>
          <w:color w:val="000000" w:themeColor="text1"/>
          <w:sz w:val="26"/>
          <w:szCs w:val="26"/>
        </w:rPr>
        <w:t>036.450/2020-0, em que só então a Corte analisará as providências. No processo, serão analisadas a</w:t>
      </w:r>
      <w:r w:rsidRPr="00AB2576">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as dúvidas razoáveis, os impedimentos, as ausências de indícios de ilicitude ou sua confirmação, advindos dos relatórios dos Tribunais sobre o tema. </w:t>
      </w:r>
    </w:p>
    <w:p w14:paraId="3AF2BA2D" w14:textId="0BB143E8"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4933C016" w14:textId="18864B12" w:rsidR="00AB2576" w:rsidRDefault="00AB2576" w:rsidP="00AB2576">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s="Times New Roman"/>
          <w:sz w:val="26"/>
          <w:szCs w:val="26"/>
        </w:rPr>
        <w:t>Assim, semente a partir do julgamento de tal Representação poderá emanar ordem executória a ser adotada pelas autoridades envolvidas</w:t>
      </w:r>
      <w:r>
        <w:rPr>
          <w:rFonts w:ascii="Times New Roman" w:eastAsia="Times New Roman" w:hAnsi="Times New Roman"/>
          <w:color w:val="000000" w:themeColor="text1"/>
          <w:sz w:val="26"/>
          <w:szCs w:val="26"/>
        </w:rPr>
        <w:t xml:space="preserve">, sem prejuízo da interposição – com efeito suspensivo - de </w:t>
      </w:r>
      <w:r>
        <w:rPr>
          <w:rFonts w:ascii="Times New Roman" w:eastAsia="Times New Roman" w:hAnsi="Times New Roman"/>
          <w:b/>
          <w:bCs/>
          <w:color w:val="000000" w:themeColor="text1"/>
          <w:sz w:val="26"/>
          <w:szCs w:val="26"/>
        </w:rPr>
        <w:t>pedido de reexame</w:t>
      </w:r>
      <w:r>
        <w:rPr>
          <w:rFonts w:ascii="Times New Roman" w:eastAsia="Times New Roman" w:hAnsi="Times New Roman"/>
          <w:color w:val="000000" w:themeColor="text1"/>
          <w:sz w:val="26"/>
          <w:szCs w:val="26"/>
        </w:rPr>
        <w:t xml:space="preserve"> (prazo de 15 dias) e </w:t>
      </w:r>
      <w:r>
        <w:rPr>
          <w:rFonts w:ascii="Times New Roman" w:eastAsia="Times New Roman" w:hAnsi="Times New Roman"/>
          <w:b/>
          <w:bCs/>
          <w:color w:val="000000" w:themeColor="text1"/>
          <w:sz w:val="26"/>
          <w:szCs w:val="26"/>
        </w:rPr>
        <w:t>embargos de declaração</w:t>
      </w:r>
      <w:r>
        <w:rPr>
          <w:rFonts w:ascii="Times New Roman" w:eastAsia="Times New Roman" w:hAnsi="Times New Roman"/>
          <w:color w:val="000000" w:themeColor="text1"/>
          <w:sz w:val="26"/>
          <w:szCs w:val="26"/>
        </w:rPr>
        <w:t xml:space="preserve"> (prazo de 10 dias) (prerrogativa que cada órgão fiscalizado tem, conforme artigos 286 e 287 do RITCU).</w:t>
      </w:r>
    </w:p>
    <w:p w14:paraId="2A86C817" w14:textId="1DBA1202"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668A7893"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Portanto, é cabível o efeito suspensivo, assim como prudente, pois se afastaria a causalidade de ocorrência de dano de difícil reparação no futuro, mas evitável com a concessão de suspensão dos efeitos da decisão. </w:t>
      </w:r>
    </w:p>
    <w:p w14:paraId="65F6F307"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4CE6AC03" w14:textId="6BCB011F" w:rsidR="00AB2576" w:rsidRDefault="00AB2576" w:rsidP="00AB2576">
      <w:pPr>
        <w:spacing w:after="0" w:line="240" w:lineRule="auto"/>
        <w:ind w:firstLine="17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Além disso, </w:t>
      </w:r>
      <w:r>
        <w:rPr>
          <w:rFonts w:ascii="Times New Roman" w:eastAsia="Times New Roman" w:hAnsi="Times New Roman" w:cs="Times New Roman"/>
          <w:color w:val="000000" w:themeColor="text1"/>
          <w:sz w:val="26"/>
          <w:szCs w:val="26"/>
        </w:rPr>
        <w:t xml:space="preserve">pelas razões já expostas, que evidenciam da ilegalidade da atuação que, sem observar a inexistência de </w:t>
      </w:r>
      <w:r>
        <w:rPr>
          <w:rFonts w:ascii="Times New Roman" w:eastAsia="Times New Roman" w:hAnsi="Times New Roman" w:cs="Times New Roman"/>
          <w:i/>
          <w:iCs/>
          <w:color w:val="000000" w:themeColor="text1"/>
          <w:sz w:val="26"/>
          <w:szCs w:val="26"/>
        </w:rPr>
        <w:t>bis in idem</w:t>
      </w:r>
      <w:r>
        <w:rPr>
          <w:rFonts w:ascii="Times New Roman" w:eastAsia="Times New Roman" w:hAnsi="Times New Roman" w:cs="Times New Roman"/>
          <w:color w:val="000000" w:themeColor="text1"/>
          <w:sz w:val="26"/>
          <w:szCs w:val="26"/>
        </w:rPr>
        <w:t xml:space="preserve">, o direito adquirido e a segurança jurídica, determinou o desfazimento de situação constituída e oriunda de </w:t>
      </w:r>
      <w:r>
        <w:rPr>
          <w:rFonts w:ascii="Times New Roman" w:eastAsia="Times New Roman" w:hAnsi="Times New Roman" w:cs="Times New Roman"/>
          <w:color w:val="000000" w:themeColor="text1"/>
          <w:sz w:val="26"/>
          <w:szCs w:val="26"/>
        </w:rPr>
        <w:lastRenderedPageBreak/>
        <w:t>atos praticados com base na legislação então vigente há mais de cinco anos, ignorando também a flagrante decadência de rever os seus atos.</w:t>
      </w:r>
    </w:p>
    <w:p w14:paraId="24F506B9" w14:textId="68817EDC"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2B0777DE" w14:textId="5406DD90" w:rsidR="00800625" w:rsidRPr="00271AD6" w:rsidRDefault="00AB2576" w:rsidP="0B288391">
      <w:pPr>
        <w:spacing w:after="0" w:line="240" w:lineRule="auto"/>
        <w:contextualSpacing/>
        <w:jc w:val="both"/>
        <w:rPr>
          <w:rFonts w:ascii="Times New Roman" w:eastAsia="Times New Roman" w:hAnsi="Times New Roman" w:cs="Times New Roman"/>
          <w:b/>
          <w:bCs/>
          <w:color w:val="000000"/>
          <w:sz w:val="26"/>
          <w:szCs w:val="26"/>
          <w:u w:val="single"/>
          <w:lang w:eastAsia="pt-BR"/>
        </w:rPr>
      </w:pPr>
      <w:r>
        <w:rPr>
          <w:rFonts w:ascii="Times New Roman" w:eastAsia="Times New Roman" w:hAnsi="Times New Roman" w:cs="Times New Roman"/>
          <w:b/>
          <w:bCs/>
          <w:color w:val="000000" w:themeColor="text1"/>
          <w:sz w:val="26"/>
          <w:szCs w:val="26"/>
          <w:lang w:eastAsia="pt-BR"/>
        </w:rPr>
        <w:t>5</w:t>
      </w:r>
      <w:r w:rsidR="00800625" w:rsidRPr="0B288391">
        <w:rPr>
          <w:rFonts w:ascii="Times New Roman" w:eastAsia="Times New Roman" w:hAnsi="Times New Roman" w:cs="Times New Roman"/>
          <w:b/>
          <w:bCs/>
          <w:color w:val="000000" w:themeColor="text1"/>
          <w:sz w:val="26"/>
          <w:szCs w:val="26"/>
          <w:lang w:eastAsia="pt-BR"/>
        </w:rPr>
        <w:t xml:space="preserve">. </w:t>
      </w:r>
      <w:r>
        <w:rPr>
          <w:rFonts w:ascii="Times New Roman" w:eastAsia="Times New Roman" w:hAnsi="Times New Roman" w:cs="Times New Roman"/>
          <w:b/>
          <w:bCs/>
          <w:color w:val="000000" w:themeColor="text1"/>
          <w:sz w:val="26"/>
          <w:szCs w:val="26"/>
          <w:u w:val="single"/>
          <w:lang w:eastAsia="pt-BR"/>
        </w:rPr>
        <w:t>PEDIDOS RECURSAIS</w:t>
      </w:r>
    </w:p>
    <w:p w14:paraId="2B0777DF" w14:textId="77777777" w:rsidR="00800625" w:rsidRPr="00271AD6" w:rsidRDefault="00800625" w:rsidP="00800625">
      <w:pPr>
        <w:spacing w:after="0" w:line="240" w:lineRule="auto"/>
        <w:contextualSpacing/>
        <w:jc w:val="both"/>
        <w:rPr>
          <w:rFonts w:ascii="Times New Roman" w:eastAsia="Times New Roman" w:hAnsi="Times New Roman" w:cs="Times New Roman"/>
          <w:color w:val="000000"/>
          <w:sz w:val="26"/>
          <w:szCs w:val="26"/>
          <w:lang w:eastAsia="pt-BR"/>
        </w:rPr>
      </w:pPr>
    </w:p>
    <w:p w14:paraId="094AD93D" w14:textId="77777777" w:rsidR="00AB2576" w:rsidRDefault="00AB2576" w:rsidP="00AB2576">
      <w:pPr>
        <w:spacing w:after="0" w:line="240" w:lineRule="auto"/>
        <w:ind w:firstLine="169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Ante o exposto</w:t>
      </w:r>
      <w:r>
        <w:rPr>
          <w:rFonts w:ascii="Times New Roman" w:eastAsia="Times New Roman" w:hAnsi="Times New Roman" w:cs="Times New Roman"/>
          <w:sz w:val="26"/>
          <w:szCs w:val="26"/>
        </w:rPr>
        <w:t>, requer o conhecimento e provimento do recurso interposto para:</w:t>
      </w:r>
    </w:p>
    <w:p w14:paraId="2B0777E1" w14:textId="77777777" w:rsidR="00800625" w:rsidRPr="00271AD6" w:rsidRDefault="00800625" w:rsidP="00AB2576">
      <w:pPr>
        <w:spacing w:after="0" w:line="240" w:lineRule="auto"/>
        <w:contextualSpacing/>
        <w:jc w:val="both"/>
        <w:rPr>
          <w:rFonts w:ascii="Times New Roman" w:eastAsia="Times New Roman" w:hAnsi="Times New Roman" w:cs="Times New Roman"/>
          <w:color w:val="000000"/>
          <w:sz w:val="26"/>
          <w:szCs w:val="26"/>
          <w:lang w:eastAsia="pt-BR"/>
        </w:rPr>
      </w:pPr>
    </w:p>
    <w:p w14:paraId="748FAF7A" w14:textId="28A6EED2" w:rsidR="00AB2576" w:rsidRDefault="00AB2576" w:rsidP="00AB2576">
      <w:pPr>
        <w:spacing w:after="0" w:line="240" w:lineRule="auto"/>
        <w:ind w:firstLine="1695"/>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atribuir, desde logo, o efeito suspensivo à decisão da Diretora do Foro, para suspender a aplicação do entendimento firmado pelo Tribunal de contas da União no sentido de suprimir as parcelas de quintos/décimos adquiridas em razão do exercício de funções típicas de oficial de justiça, ou sua transformação em parcelas compensatórias, caso não tenham sido absorvidas pelos aumentos ocorridos nos últimos 5 anos;</w:t>
      </w:r>
    </w:p>
    <w:p w14:paraId="474BDA06" w14:textId="77777777" w:rsidR="00AB2576" w:rsidRDefault="00AB2576" w:rsidP="00AB2576">
      <w:pPr>
        <w:spacing w:after="0" w:line="240" w:lineRule="auto"/>
        <w:ind w:firstLine="1695"/>
        <w:jc w:val="both"/>
        <w:rPr>
          <w:rFonts w:ascii="Times New Roman" w:eastAsia="Times New Roman" w:hAnsi="Times New Roman" w:cs="Times New Roman"/>
          <w:b/>
          <w:sz w:val="26"/>
          <w:szCs w:val="26"/>
        </w:rPr>
      </w:pPr>
    </w:p>
    <w:p w14:paraId="43F7F803" w14:textId="77777777" w:rsidR="00AB2576" w:rsidRDefault="00AB2576" w:rsidP="00AB2576">
      <w:pPr>
        <w:spacing w:after="0" w:line="240" w:lineRule="auto"/>
        <w:ind w:firstLine="1695"/>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(b)</w:t>
      </w:r>
      <w:r>
        <w:rPr>
          <w:rFonts w:ascii="Times New Roman" w:eastAsia="Times New Roman" w:hAnsi="Times New Roman" w:cs="Times New Roman"/>
          <w:sz w:val="26"/>
          <w:szCs w:val="26"/>
        </w:rPr>
        <w:t xml:space="preserve"> no mérito, manter o recebimento cumulado da Gratificação de Atividade Externa – GAE e da Vantagem Pessoal Nominalmente Identificada – VPNI, devendo restituir em contracheque eventuais parcelas suprimidas;</w:t>
      </w:r>
    </w:p>
    <w:p w14:paraId="1AF27125" w14:textId="77777777" w:rsidR="00AB2576" w:rsidRDefault="00AB2576" w:rsidP="00AB2576">
      <w:pPr>
        <w:spacing w:after="0" w:line="240" w:lineRule="auto"/>
        <w:ind w:firstLine="1695"/>
        <w:jc w:val="both"/>
        <w:rPr>
          <w:rFonts w:ascii="Times New Roman" w:eastAsia="Times New Roman" w:hAnsi="Times New Roman" w:cs="Times New Roman"/>
          <w:sz w:val="26"/>
          <w:szCs w:val="26"/>
        </w:rPr>
      </w:pPr>
    </w:p>
    <w:p w14:paraId="61EB5B0D" w14:textId="77777777" w:rsidR="00AB2576" w:rsidRDefault="00AB2576" w:rsidP="00AB2576">
      <w:pPr>
        <w:pStyle w:val="paragraph"/>
        <w:spacing w:before="0" w:beforeAutospacing="0" w:after="0" w:afterAutospacing="0"/>
        <w:ind w:firstLine="1695"/>
        <w:jc w:val="both"/>
        <w:textAlignment w:val="baseline"/>
        <w:rPr>
          <w:rStyle w:val="eop"/>
          <w:sz w:val="26"/>
          <w:szCs w:val="26"/>
        </w:rPr>
      </w:pPr>
      <w:r>
        <w:rPr>
          <w:rStyle w:val="eop"/>
          <w:rFonts w:eastAsia="Arial"/>
          <w:b/>
          <w:sz w:val="26"/>
          <w:szCs w:val="26"/>
        </w:rPr>
        <w:t>(c</w:t>
      </w:r>
      <w:r>
        <w:rPr>
          <w:rStyle w:val="eop"/>
          <w:b/>
          <w:sz w:val="26"/>
          <w:szCs w:val="26"/>
        </w:rPr>
        <w:t>)</w:t>
      </w:r>
      <w:r>
        <w:rPr>
          <w:rStyle w:val="eop"/>
          <w:rFonts w:eastAsia="Arial"/>
          <w:b/>
          <w:sz w:val="26"/>
          <w:szCs w:val="26"/>
        </w:rPr>
        <w:t xml:space="preserve"> </w:t>
      </w:r>
      <w:r>
        <w:rPr>
          <w:rStyle w:val="eop"/>
          <w:sz w:val="26"/>
          <w:szCs w:val="26"/>
        </w:rPr>
        <w:t>sucessivamente,</w:t>
      </w:r>
      <w:r>
        <w:rPr>
          <w:rStyle w:val="eop"/>
          <w:rFonts w:eastAsia="Arial"/>
          <w:sz w:val="26"/>
          <w:szCs w:val="26"/>
        </w:rPr>
        <w:t xml:space="preserve"> </w:t>
      </w:r>
      <w:r>
        <w:rPr>
          <w:rStyle w:val="eop"/>
          <w:sz w:val="26"/>
          <w:szCs w:val="26"/>
        </w:rPr>
        <w:t>a</w:t>
      </w:r>
      <w:r>
        <w:rPr>
          <w:rStyle w:val="eop"/>
          <w:rFonts w:eastAsia="Arial"/>
          <w:sz w:val="26"/>
          <w:szCs w:val="26"/>
        </w:rPr>
        <w:t xml:space="preserve"> </w:t>
      </w:r>
      <w:r>
        <w:rPr>
          <w:rStyle w:val="eop"/>
          <w:sz w:val="26"/>
          <w:szCs w:val="26"/>
        </w:rPr>
        <w:t>transformação</w:t>
      </w:r>
      <w:r>
        <w:rPr>
          <w:rStyle w:val="eop"/>
          <w:rFonts w:eastAsia="Arial"/>
          <w:sz w:val="26"/>
          <w:szCs w:val="26"/>
        </w:rPr>
        <w:t xml:space="preserve"> </w:t>
      </w:r>
      <w:r>
        <w:rPr>
          <w:rStyle w:val="eop"/>
          <w:sz w:val="26"/>
          <w:szCs w:val="26"/>
        </w:rPr>
        <w:t>da</w:t>
      </w:r>
      <w:r>
        <w:rPr>
          <w:rStyle w:val="eop"/>
          <w:rFonts w:eastAsia="Arial"/>
          <w:sz w:val="26"/>
          <w:szCs w:val="26"/>
        </w:rPr>
        <w:t xml:space="preserve"> </w:t>
      </w:r>
      <w:r>
        <w:rPr>
          <w:rStyle w:val="eop"/>
          <w:sz w:val="26"/>
          <w:szCs w:val="26"/>
        </w:rPr>
        <w:t>Vantagem</w:t>
      </w:r>
      <w:r>
        <w:rPr>
          <w:rStyle w:val="eop"/>
          <w:rFonts w:eastAsia="Arial"/>
          <w:sz w:val="26"/>
          <w:szCs w:val="26"/>
        </w:rPr>
        <w:t xml:space="preserve"> </w:t>
      </w:r>
      <w:r>
        <w:rPr>
          <w:rStyle w:val="eop"/>
          <w:sz w:val="26"/>
          <w:szCs w:val="26"/>
        </w:rPr>
        <w:t>Pessoal</w:t>
      </w:r>
      <w:r>
        <w:rPr>
          <w:rStyle w:val="eop"/>
          <w:rFonts w:eastAsia="Arial"/>
          <w:sz w:val="26"/>
          <w:szCs w:val="26"/>
        </w:rPr>
        <w:t xml:space="preserve"> </w:t>
      </w:r>
      <w:r>
        <w:rPr>
          <w:rStyle w:val="eop"/>
          <w:sz w:val="26"/>
          <w:szCs w:val="26"/>
        </w:rPr>
        <w:t>Nominalmente</w:t>
      </w:r>
      <w:r>
        <w:rPr>
          <w:rStyle w:val="eop"/>
          <w:rFonts w:eastAsia="Arial"/>
          <w:sz w:val="26"/>
          <w:szCs w:val="26"/>
        </w:rPr>
        <w:t xml:space="preserve"> </w:t>
      </w:r>
      <w:r>
        <w:rPr>
          <w:rStyle w:val="eop"/>
          <w:sz w:val="26"/>
          <w:szCs w:val="26"/>
        </w:rPr>
        <w:t>Identificada</w:t>
      </w:r>
      <w:r>
        <w:rPr>
          <w:rStyle w:val="eop"/>
          <w:rFonts w:eastAsia="Arial"/>
          <w:sz w:val="26"/>
          <w:szCs w:val="26"/>
        </w:rPr>
        <w:t xml:space="preserve"> </w:t>
      </w:r>
      <w:r>
        <w:rPr>
          <w:rStyle w:val="eop"/>
          <w:sz w:val="26"/>
          <w:szCs w:val="26"/>
        </w:rPr>
        <w:t>-</w:t>
      </w:r>
      <w:r>
        <w:rPr>
          <w:rStyle w:val="eop"/>
          <w:rFonts w:eastAsia="Arial"/>
          <w:sz w:val="26"/>
          <w:szCs w:val="26"/>
        </w:rPr>
        <w:t xml:space="preserve"> </w:t>
      </w:r>
      <w:r>
        <w:rPr>
          <w:rStyle w:val="eop"/>
          <w:sz w:val="26"/>
          <w:szCs w:val="26"/>
        </w:rPr>
        <w:t>VPNI</w:t>
      </w:r>
      <w:r>
        <w:rPr>
          <w:rStyle w:val="eop"/>
          <w:rFonts w:eastAsia="Arial"/>
          <w:sz w:val="26"/>
          <w:szCs w:val="26"/>
        </w:rPr>
        <w:t xml:space="preserve"> </w:t>
      </w:r>
      <w:r>
        <w:rPr>
          <w:rStyle w:val="eop"/>
          <w:sz w:val="26"/>
          <w:szCs w:val="26"/>
        </w:rPr>
        <w:t>em</w:t>
      </w:r>
      <w:r>
        <w:rPr>
          <w:rStyle w:val="eop"/>
          <w:rFonts w:eastAsia="Arial"/>
          <w:sz w:val="26"/>
          <w:szCs w:val="26"/>
        </w:rPr>
        <w:t xml:space="preserve"> </w:t>
      </w:r>
      <w:r>
        <w:rPr>
          <w:rStyle w:val="eop"/>
          <w:sz w:val="26"/>
          <w:szCs w:val="26"/>
        </w:rPr>
        <w:t>parcela</w:t>
      </w:r>
      <w:r>
        <w:rPr>
          <w:rStyle w:val="eop"/>
          <w:rFonts w:eastAsia="Arial"/>
          <w:sz w:val="26"/>
          <w:szCs w:val="26"/>
        </w:rPr>
        <w:t xml:space="preserve"> </w:t>
      </w:r>
      <w:r>
        <w:rPr>
          <w:rStyle w:val="eop"/>
          <w:sz w:val="26"/>
          <w:szCs w:val="26"/>
        </w:rPr>
        <w:t>compensatória</w:t>
      </w:r>
      <w:r>
        <w:rPr>
          <w:rStyle w:val="eop"/>
          <w:rFonts w:eastAsia="Arial"/>
          <w:sz w:val="26"/>
          <w:szCs w:val="26"/>
        </w:rPr>
        <w:t xml:space="preserve"> </w:t>
      </w:r>
      <w:r>
        <w:rPr>
          <w:rStyle w:val="eop"/>
          <w:sz w:val="26"/>
          <w:szCs w:val="26"/>
        </w:rPr>
        <w:t>a</w:t>
      </w:r>
      <w:r>
        <w:rPr>
          <w:rStyle w:val="eop"/>
          <w:rFonts w:eastAsia="Arial"/>
          <w:sz w:val="26"/>
          <w:szCs w:val="26"/>
        </w:rPr>
        <w:t xml:space="preserve"> </w:t>
      </w:r>
      <w:r>
        <w:rPr>
          <w:rStyle w:val="eop"/>
          <w:sz w:val="26"/>
          <w:szCs w:val="26"/>
        </w:rPr>
        <w:t>ser</w:t>
      </w:r>
      <w:r>
        <w:rPr>
          <w:rStyle w:val="eop"/>
          <w:rFonts w:eastAsia="Arial"/>
          <w:sz w:val="26"/>
          <w:szCs w:val="26"/>
        </w:rPr>
        <w:t xml:space="preserve"> </w:t>
      </w:r>
      <w:r>
        <w:rPr>
          <w:rStyle w:val="eop"/>
          <w:sz w:val="26"/>
          <w:szCs w:val="26"/>
        </w:rPr>
        <w:t>absorvida</w:t>
      </w:r>
      <w:r>
        <w:rPr>
          <w:rStyle w:val="eop"/>
          <w:rFonts w:eastAsia="Arial"/>
          <w:sz w:val="26"/>
          <w:szCs w:val="26"/>
        </w:rPr>
        <w:t xml:space="preserve"> </w:t>
      </w:r>
      <w:r>
        <w:rPr>
          <w:rStyle w:val="eop"/>
          <w:sz w:val="26"/>
          <w:szCs w:val="26"/>
        </w:rPr>
        <w:t>pelos</w:t>
      </w:r>
      <w:r>
        <w:rPr>
          <w:rStyle w:val="eop"/>
          <w:rFonts w:eastAsia="Arial"/>
          <w:sz w:val="26"/>
          <w:szCs w:val="26"/>
        </w:rPr>
        <w:t xml:space="preserve"> </w:t>
      </w:r>
      <w:r>
        <w:rPr>
          <w:rStyle w:val="eop"/>
          <w:sz w:val="26"/>
          <w:szCs w:val="26"/>
        </w:rPr>
        <w:t>reajustes</w:t>
      </w:r>
      <w:r>
        <w:rPr>
          <w:rStyle w:val="eop"/>
          <w:rFonts w:eastAsia="Arial"/>
          <w:sz w:val="26"/>
          <w:szCs w:val="26"/>
        </w:rPr>
        <w:t xml:space="preserve"> </w:t>
      </w:r>
      <w:r>
        <w:rPr>
          <w:rStyle w:val="eop"/>
          <w:sz w:val="26"/>
          <w:szCs w:val="26"/>
        </w:rPr>
        <w:t>futuros,</w:t>
      </w:r>
      <w:r>
        <w:rPr>
          <w:rStyle w:val="eop"/>
          <w:rFonts w:eastAsia="Arial"/>
          <w:sz w:val="26"/>
          <w:szCs w:val="26"/>
        </w:rPr>
        <w:t xml:space="preserve"> </w:t>
      </w:r>
      <w:r>
        <w:rPr>
          <w:rStyle w:val="eop"/>
          <w:sz w:val="26"/>
          <w:szCs w:val="26"/>
        </w:rPr>
        <w:t>com</w:t>
      </w:r>
      <w:r>
        <w:rPr>
          <w:rStyle w:val="eop"/>
          <w:rFonts w:eastAsia="Arial"/>
          <w:sz w:val="26"/>
          <w:szCs w:val="26"/>
        </w:rPr>
        <w:t xml:space="preserve"> </w:t>
      </w:r>
      <w:r>
        <w:rPr>
          <w:rStyle w:val="eop"/>
          <w:sz w:val="26"/>
          <w:szCs w:val="26"/>
        </w:rPr>
        <w:t>base</w:t>
      </w:r>
      <w:r>
        <w:rPr>
          <w:rStyle w:val="eop"/>
          <w:rFonts w:eastAsia="Arial"/>
          <w:sz w:val="26"/>
          <w:szCs w:val="26"/>
        </w:rPr>
        <w:t xml:space="preserve"> </w:t>
      </w:r>
      <w:r>
        <w:rPr>
          <w:rStyle w:val="eop"/>
          <w:sz w:val="26"/>
          <w:szCs w:val="26"/>
        </w:rPr>
        <w:t>no</w:t>
      </w:r>
      <w:r>
        <w:rPr>
          <w:rStyle w:val="eop"/>
          <w:rFonts w:eastAsia="Arial"/>
          <w:sz w:val="26"/>
          <w:szCs w:val="26"/>
        </w:rPr>
        <w:t xml:space="preserve"> </w:t>
      </w:r>
      <w:r>
        <w:rPr>
          <w:rStyle w:val="eop"/>
          <w:sz w:val="26"/>
          <w:szCs w:val="26"/>
        </w:rPr>
        <w:t>entendimento</w:t>
      </w:r>
      <w:r>
        <w:rPr>
          <w:rStyle w:val="eop"/>
          <w:rFonts w:eastAsia="Arial"/>
          <w:sz w:val="26"/>
          <w:szCs w:val="26"/>
        </w:rPr>
        <w:t xml:space="preserve"> </w:t>
      </w:r>
      <w:r>
        <w:rPr>
          <w:rStyle w:val="eop"/>
          <w:sz w:val="26"/>
          <w:szCs w:val="26"/>
        </w:rPr>
        <w:t>do</w:t>
      </w:r>
      <w:r>
        <w:rPr>
          <w:rStyle w:val="eop"/>
          <w:rFonts w:eastAsia="Arial"/>
          <w:sz w:val="26"/>
          <w:szCs w:val="26"/>
        </w:rPr>
        <w:t xml:space="preserve"> </w:t>
      </w:r>
      <w:r>
        <w:rPr>
          <w:rStyle w:val="eop"/>
          <w:sz w:val="26"/>
          <w:szCs w:val="26"/>
        </w:rPr>
        <w:t>Tribunal</w:t>
      </w:r>
      <w:r>
        <w:rPr>
          <w:rStyle w:val="eop"/>
          <w:rFonts w:eastAsia="Arial"/>
          <w:sz w:val="26"/>
          <w:szCs w:val="26"/>
        </w:rPr>
        <w:t xml:space="preserve"> </w:t>
      </w:r>
      <w:r>
        <w:rPr>
          <w:rStyle w:val="eop"/>
          <w:sz w:val="26"/>
          <w:szCs w:val="26"/>
        </w:rPr>
        <w:t>de</w:t>
      </w:r>
      <w:r>
        <w:rPr>
          <w:rStyle w:val="eop"/>
          <w:rFonts w:eastAsia="Arial"/>
          <w:sz w:val="26"/>
          <w:szCs w:val="26"/>
        </w:rPr>
        <w:t xml:space="preserve"> </w:t>
      </w:r>
      <w:r>
        <w:rPr>
          <w:rStyle w:val="eop"/>
          <w:sz w:val="26"/>
          <w:szCs w:val="26"/>
        </w:rPr>
        <w:t>Contas</w:t>
      </w:r>
      <w:r>
        <w:rPr>
          <w:rStyle w:val="eop"/>
          <w:rFonts w:eastAsia="Arial"/>
          <w:sz w:val="26"/>
          <w:szCs w:val="26"/>
        </w:rPr>
        <w:t xml:space="preserve"> </w:t>
      </w:r>
      <w:r>
        <w:rPr>
          <w:rStyle w:val="eop"/>
          <w:sz w:val="26"/>
          <w:szCs w:val="26"/>
        </w:rPr>
        <w:t>da</w:t>
      </w:r>
      <w:r>
        <w:rPr>
          <w:rStyle w:val="eop"/>
          <w:rFonts w:eastAsia="Arial"/>
          <w:sz w:val="26"/>
          <w:szCs w:val="26"/>
        </w:rPr>
        <w:t xml:space="preserve"> </w:t>
      </w:r>
      <w:r>
        <w:rPr>
          <w:rStyle w:val="eop"/>
          <w:sz w:val="26"/>
          <w:szCs w:val="26"/>
        </w:rPr>
        <w:t>União,</w:t>
      </w:r>
      <w:r>
        <w:rPr>
          <w:rStyle w:val="eop"/>
          <w:rFonts w:eastAsia="Arial"/>
          <w:sz w:val="26"/>
          <w:szCs w:val="26"/>
        </w:rPr>
        <w:t xml:space="preserve"> </w:t>
      </w:r>
      <w:r>
        <w:rPr>
          <w:rStyle w:val="eop"/>
          <w:sz w:val="26"/>
          <w:szCs w:val="26"/>
        </w:rPr>
        <w:t>sem</w:t>
      </w:r>
      <w:r>
        <w:rPr>
          <w:rStyle w:val="eop"/>
          <w:rFonts w:eastAsia="Arial"/>
          <w:sz w:val="26"/>
          <w:szCs w:val="26"/>
        </w:rPr>
        <w:t xml:space="preserve"> </w:t>
      </w:r>
      <w:r>
        <w:rPr>
          <w:rStyle w:val="eop"/>
          <w:sz w:val="26"/>
          <w:szCs w:val="26"/>
        </w:rPr>
        <w:t>a</w:t>
      </w:r>
      <w:r>
        <w:rPr>
          <w:rStyle w:val="eop"/>
          <w:rFonts w:eastAsia="Arial"/>
          <w:sz w:val="26"/>
          <w:szCs w:val="26"/>
        </w:rPr>
        <w:t xml:space="preserve"> </w:t>
      </w:r>
      <w:r>
        <w:rPr>
          <w:rStyle w:val="eop"/>
          <w:sz w:val="26"/>
          <w:szCs w:val="26"/>
        </w:rPr>
        <w:t>retroação,</w:t>
      </w:r>
      <w:r>
        <w:rPr>
          <w:rStyle w:val="eop"/>
          <w:rFonts w:eastAsia="Arial"/>
          <w:sz w:val="26"/>
          <w:szCs w:val="26"/>
        </w:rPr>
        <w:t xml:space="preserve"> </w:t>
      </w:r>
      <w:r>
        <w:rPr>
          <w:rStyle w:val="eop"/>
          <w:sz w:val="26"/>
          <w:szCs w:val="26"/>
        </w:rPr>
        <w:t>conforme</w:t>
      </w:r>
      <w:r>
        <w:rPr>
          <w:rStyle w:val="eop"/>
          <w:rFonts w:eastAsia="Arial"/>
          <w:sz w:val="26"/>
          <w:szCs w:val="26"/>
        </w:rPr>
        <w:t xml:space="preserve"> </w:t>
      </w:r>
      <w:r>
        <w:rPr>
          <w:rStyle w:val="eop"/>
          <w:sz w:val="26"/>
          <w:szCs w:val="26"/>
        </w:rPr>
        <w:t>fundamentado;</w:t>
      </w:r>
    </w:p>
    <w:p w14:paraId="1D10EDEC" w14:textId="77777777" w:rsidR="00AB2576" w:rsidRDefault="00AB2576" w:rsidP="00AB2576">
      <w:pPr>
        <w:pStyle w:val="paragraph"/>
        <w:spacing w:before="0" w:beforeAutospacing="0" w:after="0" w:afterAutospacing="0"/>
        <w:ind w:firstLine="1695"/>
        <w:jc w:val="both"/>
        <w:textAlignment w:val="baseline"/>
        <w:rPr>
          <w:rStyle w:val="eop"/>
          <w:sz w:val="26"/>
          <w:szCs w:val="26"/>
        </w:rPr>
      </w:pPr>
    </w:p>
    <w:p w14:paraId="09D50482" w14:textId="06C3EA45" w:rsidR="00AB2576" w:rsidRDefault="00AB2576" w:rsidP="00AB2576">
      <w:pPr>
        <w:spacing w:after="0" w:line="240" w:lineRule="auto"/>
        <w:ind w:firstLine="16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w:t>
      </w:r>
      <w:proofErr w:type="gramStart"/>
      <w:r>
        <w:rPr>
          <w:rFonts w:ascii="Times New Roman" w:eastAsia="Times New Roman" w:hAnsi="Times New Roman" w:cs="Times New Roman"/>
          <w:sz w:val="26"/>
          <w:szCs w:val="26"/>
          <w:highlight w:val="yellow"/>
        </w:rPr>
        <w:t>cidade</w:t>
      </w:r>
      <w:proofErr w:type="gramEnd"/>
      <w:r>
        <w:rPr>
          <w:rFonts w:ascii="Times New Roman" w:eastAsia="Times New Roman" w:hAnsi="Times New Roman" w:cs="Times New Roman"/>
          <w:sz w:val="26"/>
          <w:szCs w:val="26"/>
        </w:rPr>
        <w:t>], [</w:t>
      </w:r>
      <w:r>
        <w:rPr>
          <w:rFonts w:ascii="Times New Roman" w:eastAsia="Times New Roman" w:hAnsi="Times New Roman" w:cs="Times New Roman"/>
          <w:sz w:val="26"/>
          <w:szCs w:val="26"/>
          <w:highlight w:val="yellow"/>
        </w:rPr>
        <w:t>data</w:t>
      </w:r>
      <w:r>
        <w:rPr>
          <w:rFonts w:ascii="Times New Roman" w:eastAsia="Times New Roman" w:hAnsi="Times New Roman" w:cs="Times New Roman"/>
          <w:sz w:val="26"/>
          <w:szCs w:val="26"/>
        </w:rPr>
        <w:t>] de 2020.</w:t>
      </w:r>
    </w:p>
    <w:p w14:paraId="4C1A949E"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p>
    <w:p w14:paraId="2D736CC2" w14:textId="77777777" w:rsidR="00AB2576" w:rsidRDefault="00AB2576" w:rsidP="00AB2576">
      <w:pPr>
        <w:spacing w:after="0" w:line="240" w:lineRule="auto"/>
        <w:ind w:firstLine="1701"/>
        <w:jc w:val="both"/>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highlight w:val="yellow"/>
        </w:rPr>
        <w:t>NOME DO SERVIDOR</w:t>
      </w:r>
    </w:p>
    <w:p w14:paraId="402022FF" w14:textId="77777777" w:rsidR="00AB2576" w:rsidRDefault="00AB2576" w:rsidP="00AB2576">
      <w:pPr>
        <w:spacing w:after="0" w:line="240" w:lineRule="auto"/>
        <w:ind w:firstLine="17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Matrícula:</w:t>
      </w:r>
      <w:r>
        <w:rPr>
          <w:rFonts w:ascii="Times New Roman" w:eastAsia="Times New Roman" w:hAnsi="Times New Roman" w:cs="Times New Roman"/>
          <w:sz w:val="26"/>
          <w:szCs w:val="26"/>
        </w:rPr>
        <w:t xml:space="preserve"> </w:t>
      </w:r>
    </w:p>
    <w:p w14:paraId="2B077810" w14:textId="475DCD09" w:rsidR="00E85C4F" w:rsidRDefault="00E85C4F" w:rsidP="00AB2576">
      <w:pPr>
        <w:spacing w:after="0" w:line="240" w:lineRule="auto"/>
        <w:ind w:firstLine="1701"/>
        <w:contextualSpacing/>
        <w:jc w:val="both"/>
      </w:pPr>
    </w:p>
    <w:sectPr w:rsidR="00E85C4F" w:rsidSect="00AB2576">
      <w:footerReference w:type="default" r:id="rId11"/>
      <w:pgSz w:w="11906" w:h="16838"/>
      <w:pgMar w:top="255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9150" w14:textId="77777777" w:rsidR="00587C70" w:rsidRDefault="00587C70" w:rsidP="00800625">
      <w:pPr>
        <w:spacing w:after="0" w:line="240" w:lineRule="auto"/>
      </w:pPr>
      <w:r>
        <w:separator/>
      </w:r>
    </w:p>
  </w:endnote>
  <w:endnote w:type="continuationSeparator" w:id="0">
    <w:p w14:paraId="34F06E47" w14:textId="77777777" w:rsidR="00587C70" w:rsidRDefault="00587C70" w:rsidP="00800625">
      <w:pPr>
        <w:spacing w:after="0" w:line="240" w:lineRule="auto"/>
      </w:pPr>
      <w:r>
        <w:continuationSeparator/>
      </w:r>
    </w:p>
  </w:endnote>
  <w:endnote w:type="continuationNotice" w:id="1">
    <w:p w14:paraId="120CECFA" w14:textId="77777777" w:rsidR="00587C70" w:rsidRDefault="00587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357"/>
      <w:docPartObj>
        <w:docPartGallery w:val="Page Numbers (Bottom of Page)"/>
        <w:docPartUnique/>
      </w:docPartObj>
    </w:sdtPr>
    <w:sdtEndPr/>
    <w:sdtContent>
      <w:sdt>
        <w:sdtPr>
          <w:id w:val="-1769616900"/>
          <w:docPartObj>
            <w:docPartGallery w:val="Page Numbers (Top of Page)"/>
            <w:docPartUnique/>
          </w:docPartObj>
        </w:sdtPr>
        <w:sdtEndPr/>
        <w:sdtContent>
          <w:p w14:paraId="2B077816" w14:textId="7DEAF408" w:rsidR="00FD2E94" w:rsidRDefault="007F07F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5341A">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5341A">
              <w:rPr>
                <w:b/>
                <w:bCs/>
                <w:noProof/>
              </w:rPr>
              <w:t>38</w:t>
            </w:r>
            <w:r>
              <w:rPr>
                <w:b/>
                <w:bCs/>
                <w:sz w:val="24"/>
                <w:szCs w:val="24"/>
              </w:rPr>
              <w:fldChar w:fldCharType="end"/>
            </w:r>
          </w:p>
        </w:sdtContent>
      </w:sdt>
    </w:sdtContent>
  </w:sdt>
  <w:p w14:paraId="2B077817" w14:textId="77777777" w:rsidR="00FD2E94" w:rsidRDefault="00FD2E9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3814" w14:textId="77777777" w:rsidR="00587C70" w:rsidRDefault="00587C70" w:rsidP="00800625">
      <w:pPr>
        <w:spacing w:after="0" w:line="240" w:lineRule="auto"/>
      </w:pPr>
      <w:r>
        <w:separator/>
      </w:r>
    </w:p>
  </w:footnote>
  <w:footnote w:type="continuationSeparator" w:id="0">
    <w:p w14:paraId="0FDB5463" w14:textId="77777777" w:rsidR="00587C70" w:rsidRDefault="00587C70" w:rsidP="00800625">
      <w:pPr>
        <w:spacing w:after="0" w:line="240" w:lineRule="auto"/>
      </w:pPr>
      <w:r>
        <w:continuationSeparator/>
      </w:r>
    </w:p>
  </w:footnote>
  <w:footnote w:type="continuationNotice" w:id="1">
    <w:p w14:paraId="157CC76F" w14:textId="77777777" w:rsidR="00587C70" w:rsidRDefault="00587C70">
      <w:pPr>
        <w:spacing w:after="0" w:line="240" w:lineRule="auto"/>
      </w:pPr>
    </w:p>
  </w:footnote>
  <w:footnote w:id="2">
    <w:p w14:paraId="5DA2CE07"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Lei nº 11.416/2006: Art. 16 (...) § 2º É vedada a percepção da gratificação prevista neste artigo pelo servidor designado para o exercício de função comissionada ou nomeado para cargo em comissão.</w:t>
      </w:r>
    </w:p>
  </w:footnote>
  <w:footnote w:id="3">
    <w:p w14:paraId="78F34959" w14:textId="77777777" w:rsidR="00AB2576" w:rsidRDefault="00AB2576" w:rsidP="00AB2576">
      <w:pPr>
        <w:pStyle w:val="Textodenotaderodap"/>
        <w:jc w:val="both"/>
        <w:rPr>
          <w:rFonts w:ascii="Arial" w:eastAsia="Arial" w:hAnsi="Arial" w:cs="Arial"/>
          <w:color w:val="000000" w:themeColor="text1"/>
          <w:lang w:val="pt-BR"/>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lang w:val="pt-BR"/>
        </w:rPr>
        <w:t>TCU, processo nº 036.450/2020-0 (representação), fonte (consulta em 29/10/2020):</w:t>
      </w:r>
    </w:p>
    <w:p w14:paraId="2851C342" w14:textId="77777777" w:rsidR="00AB2576" w:rsidRDefault="00587C70" w:rsidP="00AB2576">
      <w:pPr>
        <w:spacing w:after="0" w:line="240" w:lineRule="auto"/>
        <w:jc w:val="both"/>
        <w:rPr>
          <w:rFonts w:ascii="Arial" w:eastAsia="Arial" w:hAnsi="Arial" w:cs="Arial"/>
          <w:color w:val="000000" w:themeColor="text1"/>
          <w:sz w:val="20"/>
          <w:szCs w:val="20"/>
        </w:rPr>
      </w:pPr>
      <w:hyperlink r:id="rId1" w:anchor="/documento/processo/*/NUMEROSOMENTENUMEROS%253A3645020200/DTAUTUACAOORDENACAO%2520desc%252C%2520NUMEROCOMZEROS%2520desc/0/%2520" w:history="1">
        <w:r w:rsidR="00AB2576">
          <w:rPr>
            <w:rStyle w:val="Hyperlink"/>
            <w:rFonts w:ascii="Arial" w:eastAsia="Arial" w:hAnsi="Arial" w:cs="Arial"/>
            <w:color w:val="0563C1"/>
            <w:sz w:val="18"/>
            <w:szCs w:val="18"/>
          </w:rPr>
          <w:t>https://pesquisa.apps.tcu.gov.br/#/documento/processo/*/NUMEROSOMENTENUMEROS%253A3645020200/DTAUTUACAOORDENACAO%2520desc%252C%2520NUMEROCOMZEROS%2520desc/0/%2520</w:t>
        </w:r>
      </w:hyperlink>
    </w:p>
  </w:footnote>
  <w:footnote w:id="4">
    <w:p w14:paraId="3899D4CF" w14:textId="77777777" w:rsidR="00AB2576" w:rsidRDefault="00AB2576" w:rsidP="00AB2576">
      <w:pPr>
        <w:pStyle w:val="Textodenotaderodap"/>
        <w:jc w:val="both"/>
        <w:rPr>
          <w:rFonts w:ascii="Arial" w:eastAsia="Arial" w:hAnsi="Arial" w:cs="Arial"/>
          <w:color w:val="000000" w:themeColor="text1"/>
        </w:rPr>
      </w:pPr>
      <w:r>
        <w:rPr>
          <w:rStyle w:val="Refdenotaderodap"/>
          <w:rFonts w:ascii="Arial" w:eastAsia="Arial" w:hAnsi="Arial" w:cs="Arial"/>
          <w:sz w:val="18"/>
          <w:szCs w:val="18"/>
        </w:rPr>
        <w:footnoteRef/>
      </w:r>
      <w:r>
        <w:rPr>
          <w:rFonts w:ascii="Arial" w:eastAsia="Arial" w:hAnsi="Arial" w:cs="Arial"/>
          <w:sz w:val="18"/>
          <w:szCs w:val="18"/>
        </w:rPr>
        <w:t xml:space="preserve"> </w:t>
      </w:r>
      <w:proofErr w:type="spellStart"/>
      <w:r>
        <w:rPr>
          <w:rFonts w:ascii="Arial" w:eastAsia="Arial" w:hAnsi="Arial" w:cs="Arial"/>
          <w:color w:val="000000" w:themeColor="text1"/>
          <w:sz w:val="18"/>
          <w:szCs w:val="18"/>
        </w:rPr>
        <w:t>Ato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Regulamentar</w:t>
      </w:r>
      <w:proofErr w:type="spellEnd"/>
      <w:r>
        <w:rPr>
          <w:rFonts w:ascii="Arial" w:eastAsia="Arial" w:hAnsi="Arial" w:cs="Arial"/>
          <w:color w:val="000000" w:themeColor="text1"/>
          <w:sz w:val="18"/>
          <w:szCs w:val="18"/>
        </w:rPr>
        <w:t xml:space="preserve"> CJF nº 641/1987: Art 1º - As </w:t>
      </w:r>
      <w:proofErr w:type="spellStart"/>
      <w:r>
        <w:rPr>
          <w:rFonts w:ascii="Arial" w:eastAsia="Arial" w:hAnsi="Arial" w:cs="Arial"/>
          <w:color w:val="000000" w:themeColor="text1"/>
          <w:sz w:val="18"/>
          <w:szCs w:val="18"/>
        </w:rPr>
        <w:t>atuais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funções</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Auxiliar</w:t>
      </w:r>
      <w:proofErr w:type="spellEnd"/>
      <w:r>
        <w:rPr>
          <w:rFonts w:ascii="Arial" w:eastAsia="Arial" w:hAnsi="Arial" w:cs="Arial"/>
          <w:color w:val="000000" w:themeColor="text1"/>
          <w:sz w:val="18"/>
          <w:szCs w:val="18"/>
        </w:rPr>
        <w:t xml:space="preserve"> I e </w:t>
      </w:r>
      <w:proofErr w:type="spellStart"/>
      <w:r>
        <w:rPr>
          <w:rFonts w:ascii="Arial" w:eastAsia="Arial" w:hAnsi="Arial" w:cs="Arial"/>
          <w:color w:val="000000" w:themeColor="text1"/>
          <w:sz w:val="18"/>
          <w:szCs w:val="18"/>
        </w:rPr>
        <w:t>Auxiliar</w:t>
      </w:r>
      <w:proofErr w:type="spellEnd"/>
      <w:r>
        <w:rPr>
          <w:rFonts w:ascii="Arial" w:eastAsia="Arial" w:hAnsi="Arial" w:cs="Arial"/>
          <w:color w:val="000000" w:themeColor="text1"/>
          <w:sz w:val="18"/>
          <w:szCs w:val="18"/>
        </w:rPr>
        <w:t xml:space="preserve"> II, </w:t>
      </w:r>
      <w:proofErr w:type="spellStart"/>
      <w:r>
        <w:rPr>
          <w:rFonts w:ascii="Arial" w:eastAsia="Arial" w:hAnsi="Arial" w:cs="Arial"/>
          <w:color w:val="000000" w:themeColor="text1"/>
          <w:sz w:val="18"/>
          <w:szCs w:val="18"/>
        </w:rPr>
        <w:t>constantes</w:t>
      </w:r>
      <w:proofErr w:type="spellEnd"/>
      <w:r>
        <w:rPr>
          <w:rFonts w:ascii="Arial" w:eastAsia="Arial" w:hAnsi="Arial" w:cs="Arial"/>
          <w:color w:val="000000" w:themeColor="text1"/>
          <w:sz w:val="18"/>
          <w:szCs w:val="18"/>
        </w:rPr>
        <w:t xml:space="preserve"> da </w:t>
      </w:r>
      <w:proofErr w:type="spellStart"/>
      <w:r>
        <w:rPr>
          <w:rFonts w:ascii="Arial" w:eastAsia="Arial" w:hAnsi="Arial" w:cs="Arial"/>
          <w:color w:val="000000" w:themeColor="text1"/>
          <w:sz w:val="18"/>
          <w:szCs w:val="18"/>
        </w:rPr>
        <w:t>Tabela</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Gratificações</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Representação</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Gabinete</w:t>
      </w:r>
      <w:proofErr w:type="spellEnd"/>
      <w:r>
        <w:rPr>
          <w:rFonts w:ascii="Arial" w:eastAsia="Arial" w:hAnsi="Arial" w:cs="Arial"/>
          <w:color w:val="000000" w:themeColor="text1"/>
          <w:sz w:val="18"/>
          <w:szCs w:val="18"/>
        </w:rPr>
        <w:t xml:space="preserve"> das </w:t>
      </w:r>
      <w:proofErr w:type="spellStart"/>
      <w:r>
        <w:rPr>
          <w:rFonts w:ascii="Arial" w:eastAsia="Arial" w:hAnsi="Arial" w:cs="Arial"/>
          <w:color w:val="000000" w:themeColor="text1"/>
          <w:sz w:val="18"/>
          <w:szCs w:val="18"/>
        </w:rPr>
        <w:t>Secretarias</w:t>
      </w:r>
      <w:proofErr w:type="spellEnd"/>
      <w:r>
        <w:rPr>
          <w:rFonts w:ascii="Arial" w:eastAsia="Arial" w:hAnsi="Arial" w:cs="Arial"/>
          <w:color w:val="000000" w:themeColor="text1"/>
          <w:sz w:val="18"/>
          <w:szCs w:val="18"/>
        </w:rPr>
        <w:t xml:space="preserve"> das </w:t>
      </w:r>
      <w:proofErr w:type="spellStart"/>
      <w:r>
        <w:rPr>
          <w:rFonts w:ascii="Arial" w:eastAsia="Arial" w:hAnsi="Arial" w:cs="Arial"/>
          <w:color w:val="000000" w:themeColor="text1"/>
          <w:sz w:val="18"/>
          <w:szCs w:val="18"/>
        </w:rPr>
        <w:t>Seções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Judiciárias</w:t>
      </w:r>
      <w:proofErr w:type="spellEnd"/>
      <w:r>
        <w:rPr>
          <w:rFonts w:ascii="Arial" w:eastAsia="Arial" w:hAnsi="Arial" w:cs="Arial"/>
          <w:color w:val="000000" w:themeColor="text1"/>
          <w:sz w:val="18"/>
          <w:szCs w:val="18"/>
        </w:rPr>
        <w:t xml:space="preserve"> da </w:t>
      </w:r>
      <w:proofErr w:type="spellStart"/>
      <w:r>
        <w:rPr>
          <w:rFonts w:ascii="Arial" w:eastAsia="Arial" w:hAnsi="Arial" w:cs="Arial"/>
          <w:color w:val="000000" w:themeColor="text1"/>
          <w:sz w:val="18"/>
          <w:szCs w:val="18"/>
        </w:rPr>
        <w:t>Justiça</w:t>
      </w:r>
      <w:proofErr w:type="spellEnd"/>
      <w:r>
        <w:rPr>
          <w:rFonts w:ascii="Arial" w:eastAsia="Arial" w:hAnsi="Arial" w:cs="Arial"/>
          <w:color w:val="000000" w:themeColor="text1"/>
          <w:sz w:val="18"/>
          <w:szCs w:val="18"/>
        </w:rPr>
        <w:t xml:space="preserve"> federal de </w:t>
      </w:r>
      <w:proofErr w:type="spellStart"/>
      <w:r>
        <w:rPr>
          <w:rFonts w:ascii="Arial" w:eastAsia="Arial" w:hAnsi="Arial" w:cs="Arial"/>
          <w:color w:val="000000" w:themeColor="text1"/>
          <w:sz w:val="18"/>
          <w:szCs w:val="18"/>
        </w:rPr>
        <w:t>Primeira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Instância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ficam</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transformados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em</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Auxiliar</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Especializada</w:t>
      </w:r>
      <w:proofErr w:type="spellEnd"/>
      <w:r>
        <w:rPr>
          <w:rFonts w:ascii="Arial" w:eastAsia="Arial" w:hAnsi="Arial" w:cs="Arial"/>
          <w:color w:val="000000" w:themeColor="text1"/>
          <w:sz w:val="18"/>
          <w:szCs w:val="18"/>
        </w:rPr>
        <w:t xml:space="preserve">.  Art 2º - São </w:t>
      </w:r>
      <w:proofErr w:type="spellStart"/>
      <w:r>
        <w:rPr>
          <w:rFonts w:ascii="Arial" w:eastAsia="Arial" w:hAnsi="Arial" w:cs="Arial"/>
          <w:color w:val="000000" w:themeColor="text1"/>
          <w:sz w:val="18"/>
          <w:szCs w:val="18"/>
        </w:rPr>
        <w:t>criadas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na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referida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Tabela</w:t>
      </w:r>
      <w:proofErr w:type="spellEnd"/>
      <w:r>
        <w:rPr>
          <w:rFonts w:ascii="Arial" w:eastAsia="Arial" w:hAnsi="Arial" w:cs="Arial"/>
          <w:color w:val="000000" w:themeColor="text1"/>
          <w:sz w:val="18"/>
          <w:szCs w:val="18"/>
        </w:rPr>
        <w:t xml:space="preserve"> as </w:t>
      </w:r>
      <w:proofErr w:type="spellStart"/>
      <w:r>
        <w:rPr>
          <w:rFonts w:ascii="Arial" w:eastAsia="Arial" w:hAnsi="Arial" w:cs="Arial"/>
          <w:color w:val="000000" w:themeColor="text1"/>
          <w:sz w:val="18"/>
          <w:szCs w:val="18"/>
        </w:rPr>
        <w:t>seguintes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funções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Oficial</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Gabinete</w:t>
      </w:r>
      <w:proofErr w:type="spellEnd"/>
      <w:r>
        <w:rPr>
          <w:rFonts w:ascii="Arial" w:eastAsia="Arial" w:hAnsi="Arial" w:cs="Arial"/>
          <w:color w:val="000000" w:themeColor="text1"/>
          <w:sz w:val="18"/>
          <w:szCs w:val="18"/>
        </w:rPr>
        <w:t xml:space="preserve">: 163, (...), </w:t>
      </w:r>
      <w:proofErr w:type="spellStart"/>
      <w:r>
        <w:rPr>
          <w:rFonts w:ascii="Arial" w:eastAsia="Arial" w:hAnsi="Arial" w:cs="Arial"/>
          <w:color w:val="000000" w:themeColor="text1"/>
          <w:sz w:val="18"/>
          <w:szCs w:val="18"/>
        </w:rPr>
        <w:t>Executante</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Mandados</w:t>
      </w:r>
      <w:proofErr w:type="spellEnd"/>
      <w:r>
        <w:rPr>
          <w:rFonts w:ascii="Arial" w:eastAsia="Arial" w:hAnsi="Arial" w:cs="Arial"/>
          <w:color w:val="000000" w:themeColor="text1"/>
          <w:sz w:val="18"/>
          <w:szCs w:val="18"/>
        </w:rPr>
        <w:t xml:space="preserve">: (779). Art 3º - As </w:t>
      </w:r>
      <w:proofErr w:type="spellStart"/>
      <w:r>
        <w:rPr>
          <w:rFonts w:ascii="Arial" w:eastAsia="Arial" w:hAnsi="Arial" w:cs="Arial"/>
          <w:color w:val="000000" w:themeColor="text1"/>
          <w:sz w:val="18"/>
          <w:szCs w:val="18"/>
        </w:rPr>
        <w:t>designações</w:t>
      </w:r>
      <w:proofErr w:type="spellEnd"/>
      <w:r>
        <w:rPr>
          <w:rFonts w:ascii="Arial" w:eastAsia="Arial" w:hAnsi="Arial" w:cs="Arial"/>
          <w:color w:val="000000" w:themeColor="text1"/>
          <w:sz w:val="18"/>
          <w:szCs w:val="18"/>
        </w:rPr>
        <w:t xml:space="preserve"> para as </w:t>
      </w:r>
      <w:proofErr w:type="spellStart"/>
      <w:r>
        <w:rPr>
          <w:rFonts w:ascii="Arial" w:eastAsia="Arial" w:hAnsi="Arial" w:cs="Arial"/>
          <w:color w:val="000000" w:themeColor="text1"/>
          <w:sz w:val="18"/>
          <w:szCs w:val="18"/>
        </w:rPr>
        <w:t>funções</w:t>
      </w:r>
      <w:proofErr w:type="spellEnd"/>
      <w:r>
        <w:rPr>
          <w:rFonts w:ascii="Arial" w:eastAsia="Arial" w:hAnsi="Arial" w:cs="Arial"/>
          <w:color w:val="000000" w:themeColor="text1"/>
          <w:sz w:val="18"/>
          <w:szCs w:val="18"/>
        </w:rPr>
        <w:t xml:space="preserve"> a que se </w:t>
      </w:r>
      <w:proofErr w:type="spellStart"/>
      <w:r>
        <w:rPr>
          <w:rFonts w:ascii="Arial" w:eastAsia="Arial" w:hAnsi="Arial" w:cs="Arial"/>
          <w:color w:val="000000" w:themeColor="text1"/>
          <w:sz w:val="18"/>
          <w:szCs w:val="18"/>
        </w:rPr>
        <w:t>referem</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artigos</w:t>
      </w:r>
      <w:proofErr w:type="spellEnd"/>
      <w:r>
        <w:rPr>
          <w:rFonts w:ascii="Arial" w:eastAsia="Arial" w:hAnsi="Arial" w:cs="Arial"/>
          <w:color w:val="000000" w:themeColor="text1"/>
          <w:sz w:val="18"/>
          <w:szCs w:val="18"/>
        </w:rPr>
        <w:t xml:space="preserve"> 1º e 2º far-se-</w:t>
      </w:r>
      <w:proofErr w:type="spellStart"/>
      <w:r>
        <w:rPr>
          <w:rFonts w:ascii="Arial" w:eastAsia="Arial" w:hAnsi="Arial" w:cs="Arial"/>
          <w:color w:val="000000" w:themeColor="text1"/>
          <w:sz w:val="18"/>
          <w:szCs w:val="18"/>
        </w:rPr>
        <w:t>ão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por</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atos</w:t>
      </w:r>
      <w:proofErr w:type="spellEnd"/>
      <w:r>
        <w:rPr>
          <w:rFonts w:ascii="Arial" w:eastAsia="Arial" w:hAnsi="Arial" w:cs="Arial"/>
          <w:color w:val="000000" w:themeColor="text1"/>
          <w:sz w:val="18"/>
          <w:szCs w:val="18"/>
        </w:rPr>
        <w:t xml:space="preserve"> do </w:t>
      </w:r>
      <w:proofErr w:type="spellStart"/>
      <w:r>
        <w:rPr>
          <w:rFonts w:ascii="Arial" w:eastAsia="Arial" w:hAnsi="Arial" w:cs="Arial"/>
          <w:color w:val="000000" w:themeColor="text1"/>
          <w:sz w:val="18"/>
          <w:szCs w:val="18"/>
        </w:rPr>
        <w:t>Diretor</w:t>
      </w:r>
      <w:proofErr w:type="spellEnd"/>
      <w:r>
        <w:rPr>
          <w:rFonts w:ascii="Arial" w:eastAsia="Arial" w:hAnsi="Arial" w:cs="Arial"/>
          <w:color w:val="000000" w:themeColor="text1"/>
          <w:sz w:val="18"/>
          <w:szCs w:val="18"/>
        </w:rPr>
        <w:t xml:space="preserve"> do </w:t>
      </w:r>
      <w:proofErr w:type="spellStart"/>
      <w:r>
        <w:rPr>
          <w:rFonts w:ascii="Arial" w:eastAsia="Arial" w:hAnsi="Arial" w:cs="Arial"/>
          <w:color w:val="000000" w:themeColor="text1"/>
          <w:sz w:val="18"/>
          <w:szCs w:val="18"/>
        </w:rPr>
        <w:t>Foro</w:t>
      </w:r>
      <w:proofErr w:type="spellEnd"/>
      <w:r>
        <w:rPr>
          <w:rFonts w:ascii="Arial" w:eastAsia="Arial" w:hAnsi="Arial" w:cs="Arial"/>
          <w:color w:val="000000" w:themeColor="text1"/>
          <w:sz w:val="18"/>
          <w:szCs w:val="18"/>
        </w:rPr>
        <w:t xml:space="preserve"> da </w:t>
      </w:r>
      <w:proofErr w:type="spellStart"/>
      <w:r>
        <w:rPr>
          <w:rFonts w:ascii="Arial" w:eastAsia="Arial" w:hAnsi="Arial" w:cs="Arial"/>
          <w:color w:val="000000" w:themeColor="text1"/>
          <w:sz w:val="18"/>
          <w:szCs w:val="18"/>
        </w:rPr>
        <w:t>respectiva</w:t>
      </w:r>
      <w:proofErr w:type="spellEnd"/>
      <w:r>
        <w:rPr>
          <w:rFonts w:ascii="Arial" w:eastAsia="Arial" w:hAnsi="Arial" w:cs="Arial"/>
          <w:color w:val="000000" w:themeColor="text1"/>
          <w:sz w:val="18"/>
          <w:szCs w:val="18"/>
        </w:rPr>
        <w:t xml:space="preserve"> Seção </w:t>
      </w:r>
      <w:proofErr w:type="spellStart"/>
      <w:r>
        <w:rPr>
          <w:rFonts w:ascii="Arial" w:eastAsia="Arial" w:hAnsi="Arial" w:cs="Arial"/>
          <w:color w:val="000000" w:themeColor="text1"/>
          <w:sz w:val="18"/>
          <w:szCs w:val="18"/>
        </w:rPr>
        <w:t>Judiciária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após</w:t>
      </w:r>
      <w:proofErr w:type="spellEnd"/>
      <w:r>
        <w:rPr>
          <w:rFonts w:ascii="Arial" w:eastAsia="Arial" w:hAnsi="Arial" w:cs="Arial"/>
          <w:color w:val="000000" w:themeColor="text1"/>
          <w:sz w:val="18"/>
          <w:szCs w:val="18"/>
        </w:rPr>
        <w:t xml:space="preserve"> a </w:t>
      </w:r>
      <w:proofErr w:type="spellStart"/>
      <w:r>
        <w:rPr>
          <w:rFonts w:ascii="Arial" w:eastAsia="Arial" w:hAnsi="Arial" w:cs="Arial"/>
          <w:color w:val="000000" w:themeColor="text1"/>
          <w:sz w:val="18"/>
          <w:szCs w:val="18"/>
        </w:rPr>
        <w:t>indicação</w:t>
      </w:r>
      <w:proofErr w:type="spellEnd"/>
      <w:r>
        <w:rPr>
          <w:rFonts w:ascii="Arial" w:eastAsia="Arial" w:hAnsi="Arial" w:cs="Arial"/>
          <w:color w:val="000000" w:themeColor="text1"/>
          <w:sz w:val="18"/>
          <w:szCs w:val="18"/>
        </w:rPr>
        <w:t xml:space="preserve"> do Juiz Federal a que </w:t>
      </w:r>
      <w:proofErr w:type="spellStart"/>
      <w:r>
        <w:rPr>
          <w:rFonts w:ascii="Arial" w:eastAsia="Arial" w:hAnsi="Arial" w:cs="Arial"/>
          <w:color w:val="000000" w:themeColor="text1"/>
          <w:sz w:val="18"/>
          <w:szCs w:val="18"/>
        </w:rPr>
        <w:t>estiverem</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subordinados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servidores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observando</w:t>
      </w:r>
      <w:proofErr w:type="spellEnd"/>
      <w:r>
        <w:rPr>
          <w:rFonts w:ascii="Arial" w:eastAsia="Arial" w:hAnsi="Arial" w:cs="Arial"/>
          <w:color w:val="000000" w:themeColor="text1"/>
          <w:sz w:val="18"/>
          <w:szCs w:val="18"/>
        </w:rPr>
        <w:t xml:space="preserve">-se </w:t>
      </w:r>
      <w:proofErr w:type="spellStart"/>
      <w:r>
        <w:rPr>
          <w:rFonts w:ascii="Arial" w:eastAsia="Arial" w:hAnsi="Arial" w:cs="Arial"/>
          <w:color w:val="000000" w:themeColor="text1"/>
          <w:sz w:val="18"/>
          <w:szCs w:val="18"/>
        </w:rPr>
        <w:t>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seguintes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critérios</w:t>
      </w:r>
      <w:proofErr w:type="spellEnd"/>
      <w:r>
        <w:rPr>
          <w:rFonts w:ascii="Arial" w:eastAsia="Arial" w:hAnsi="Arial" w:cs="Arial"/>
          <w:color w:val="000000" w:themeColor="text1"/>
          <w:sz w:val="18"/>
          <w:szCs w:val="18"/>
        </w:rPr>
        <w:t>: (...)</w:t>
      </w:r>
    </w:p>
  </w:footnote>
  <w:footnote w:id="5">
    <w:p w14:paraId="0085D27C"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Lei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w:t>
      </w:r>
    </w:p>
  </w:footnote>
  <w:footnote w:id="6">
    <w:p w14:paraId="28E884E3"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w:t>
      </w:r>
      <w:proofErr w:type="gramStart"/>
      <w:r>
        <w:rPr>
          <w:rFonts w:ascii="Arial" w:eastAsia="Arial" w:hAnsi="Arial" w:cs="Arial"/>
          <w:color w:val="000000" w:themeColor="text1"/>
          <w:sz w:val="18"/>
          <w:szCs w:val="18"/>
        </w:rPr>
        <w:t>CD.”</w:t>
      </w:r>
      <w:proofErr w:type="gramEnd"/>
    </w:p>
  </w:footnote>
  <w:footnote w:id="7">
    <w:p w14:paraId="7B3EC7E3"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A gratificação prevista neste artigo incorpora-se à remuneração do servidor e integra o provento da aposentadoria, na proporção de 1/5 (um quinto) por ano de exercício na função de direção, chefia ou assessoramento, até o limite de 5 (cinco) </w:t>
      </w:r>
      <w:proofErr w:type="gramStart"/>
      <w:r>
        <w:rPr>
          <w:rFonts w:ascii="Arial" w:eastAsia="Arial" w:hAnsi="Arial" w:cs="Arial"/>
          <w:color w:val="000000" w:themeColor="text1"/>
          <w:sz w:val="18"/>
          <w:szCs w:val="18"/>
        </w:rPr>
        <w:t>quintos.”</w:t>
      </w:r>
      <w:proofErr w:type="gramEnd"/>
    </w:p>
  </w:footnote>
  <w:footnote w:id="8">
    <w:p w14:paraId="3287497D"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w:t>
      </w:r>
      <w:proofErr w:type="gramStart"/>
      <w:r>
        <w:rPr>
          <w:rFonts w:ascii="Arial" w:eastAsia="Arial" w:hAnsi="Arial" w:cs="Arial"/>
          <w:color w:val="000000" w:themeColor="text1"/>
          <w:sz w:val="18"/>
          <w:szCs w:val="18"/>
        </w:rPr>
        <w:t>exercida.”</w:t>
      </w:r>
      <w:proofErr w:type="gramEnd"/>
    </w:p>
  </w:footnote>
  <w:footnote w:id="9">
    <w:p w14:paraId="0B1AFF94"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Constituição Federal: “Art. 5º (...) II - ninguém será obrigado a fazer ou deixar de fazer alguma coisa senão em virtude de lei; (...) Art. 37. A administração pública direta e indireta de qualquer dos Poderes da União, dos Estados, do Distrito Federal e dos Municípios obedecerá aos princípios de legalidade, impessoalidade, moralidade, publicidade e eficiência e, também, ao </w:t>
      </w:r>
      <w:proofErr w:type="gramStart"/>
      <w:r>
        <w:rPr>
          <w:rFonts w:ascii="Arial" w:eastAsia="Arial" w:hAnsi="Arial" w:cs="Arial"/>
          <w:color w:val="000000" w:themeColor="text1"/>
          <w:sz w:val="18"/>
          <w:szCs w:val="18"/>
        </w:rPr>
        <w:t>seguinte:”</w:t>
      </w:r>
      <w:proofErr w:type="gramEnd"/>
    </w:p>
  </w:footnote>
  <w:footnote w:id="10">
    <w:p w14:paraId="2FB8C3F6" w14:textId="77777777" w:rsidR="00AB2576" w:rsidRDefault="00AB2576" w:rsidP="00AB2576">
      <w:pPr>
        <w:pStyle w:val="Textodenotaderodap"/>
        <w:jc w:val="both"/>
        <w:rPr>
          <w:rFonts w:ascii="Arial" w:eastAsia="Arial" w:hAnsi="Arial" w:cs="Arial"/>
          <w:color w:val="000000" w:themeColor="text1"/>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É o </w:t>
      </w:r>
      <w:proofErr w:type="spellStart"/>
      <w:r>
        <w:rPr>
          <w:rFonts w:ascii="Arial" w:eastAsia="Arial" w:hAnsi="Arial" w:cs="Arial"/>
          <w:color w:val="000000" w:themeColor="text1"/>
          <w:sz w:val="18"/>
          <w:szCs w:val="18"/>
        </w:rPr>
        <w:t>quanto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será</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retirado</w:t>
      </w:r>
      <w:proofErr w:type="spellEnd"/>
      <w:r>
        <w:rPr>
          <w:rFonts w:ascii="Arial" w:eastAsia="Arial" w:hAnsi="Arial" w:cs="Arial"/>
          <w:color w:val="000000" w:themeColor="text1"/>
          <w:sz w:val="18"/>
          <w:szCs w:val="18"/>
        </w:rPr>
        <w:t xml:space="preserve"> do </w:t>
      </w:r>
      <w:proofErr w:type="spellStart"/>
      <w:r>
        <w:rPr>
          <w:rFonts w:ascii="Arial" w:eastAsia="Arial" w:hAnsi="Arial" w:cs="Arial"/>
          <w:color w:val="000000" w:themeColor="text1"/>
          <w:sz w:val="18"/>
          <w:szCs w:val="18"/>
        </w:rPr>
        <w:t>contracheque</w:t>
      </w:r>
      <w:proofErr w:type="spellEnd"/>
      <w:r>
        <w:rPr>
          <w:rFonts w:ascii="Arial" w:eastAsia="Arial" w:hAnsi="Arial" w:cs="Arial"/>
          <w:color w:val="000000" w:themeColor="text1"/>
          <w:sz w:val="18"/>
          <w:szCs w:val="18"/>
        </w:rPr>
        <w:t xml:space="preserve"> dos </w:t>
      </w:r>
      <w:proofErr w:type="spellStart"/>
      <w:r>
        <w:rPr>
          <w:rFonts w:ascii="Arial" w:eastAsia="Arial" w:hAnsi="Arial" w:cs="Arial"/>
          <w:color w:val="000000" w:themeColor="text1"/>
          <w:sz w:val="18"/>
          <w:szCs w:val="18"/>
        </w:rPr>
        <w:t>substituídos</w:t>
      </w:r>
      <w:proofErr w:type="spellEnd"/>
      <w:r>
        <w:rPr>
          <w:rFonts w:ascii="Arial" w:eastAsia="Arial" w:hAnsi="Arial" w:cs="Arial"/>
          <w:color w:val="000000" w:themeColor="text1"/>
          <w:sz w:val="18"/>
          <w:szCs w:val="18"/>
        </w:rPr>
        <w:t xml:space="preserve"> com 5/5 </w:t>
      </w:r>
      <w:proofErr w:type="spellStart"/>
      <w:r>
        <w:rPr>
          <w:rFonts w:ascii="Arial" w:eastAsia="Arial" w:hAnsi="Arial" w:cs="Arial"/>
          <w:color w:val="000000" w:themeColor="text1"/>
          <w:sz w:val="18"/>
          <w:szCs w:val="18"/>
        </w:rPr>
        <w:t>incorporados</w:t>
      </w:r>
      <w:proofErr w:type="spellEnd"/>
      <w:r>
        <w:rPr>
          <w:rFonts w:ascii="Arial" w:eastAsia="Arial" w:hAnsi="Arial" w:cs="Arial"/>
          <w:color w:val="000000" w:themeColor="text1"/>
          <w:sz w:val="18"/>
          <w:szCs w:val="18"/>
        </w:rPr>
        <w:t xml:space="preserve"> e </w:t>
      </w:r>
      <w:proofErr w:type="spellStart"/>
      <w:r>
        <w:rPr>
          <w:rFonts w:ascii="Arial" w:eastAsia="Arial" w:hAnsi="Arial" w:cs="Arial"/>
          <w:color w:val="000000" w:themeColor="text1"/>
          <w:sz w:val="18"/>
          <w:szCs w:val="18"/>
        </w:rPr>
        <w:t>transformados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em</w:t>
      </w:r>
      <w:proofErr w:type="spellEnd"/>
      <w:r>
        <w:rPr>
          <w:rFonts w:ascii="Arial" w:eastAsia="Arial" w:hAnsi="Arial" w:cs="Arial"/>
          <w:color w:val="000000" w:themeColor="text1"/>
          <w:sz w:val="18"/>
          <w:szCs w:val="18"/>
        </w:rPr>
        <w:t xml:space="preserve"> VPNI, </w:t>
      </w:r>
      <w:proofErr w:type="spellStart"/>
      <w:r>
        <w:rPr>
          <w:rFonts w:ascii="Arial" w:eastAsia="Arial" w:hAnsi="Arial" w:cs="Arial"/>
          <w:color w:val="000000" w:themeColor="text1"/>
          <w:sz w:val="18"/>
          <w:szCs w:val="18"/>
        </w:rPr>
        <w:t>aproximadamente</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variando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conforme</w:t>
      </w:r>
      <w:proofErr w:type="spellEnd"/>
      <w:r>
        <w:rPr>
          <w:rFonts w:ascii="Arial" w:eastAsia="Arial" w:hAnsi="Arial" w:cs="Arial"/>
          <w:color w:val="000000" w:themeColor="text1"/>
          <w:sz w:val="18"/>
          <w:szCs w:val="18"/>
        </w:rPr>
        <w:t xml:space="preserve"> o </w:t>
      </w:r>
      <w:proofErr w:type="spellStart"/>
      <w:r>
        <w:rPr>
          <w:rFonts w:ascii="Arial" w:eastAsia="Arial" w:hAnsi="Arial" w:cs="Arial"/>
          <w:color w:val="000000" w:themeColor="text1"/>
          <w:sz w:val="18"/>
          <w:szCs w:val="18"/>
        </w:rPr>
        <w:t>número</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quintos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incorporados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na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época</w:t>
      </w:r>
      <w:proofErr w:type="spellEnd"/>
      <w:r>
        <w:rPr>
          <w:rFonts w:ascii="Arial" w:eastAsia="Arial" w:hAnsi="Arial" w:cs="Arial"/>
          <w:color w:val="000000" w:themeColor="text1"/>
          <w:sz w:val="18"/>
          <w:szCs w:val="18"/>
        </w:rPr>
        <w:t>.</w:t>
      </w:r>
    </w:p>
  </w:footnote>
  <w:footnote w:id="11">
    <w:p w14:paraId="5E4277CD" w14:textId="77777777" w:rsidR="00AB2576" w:rsidRDefault="00AB2576" w:rsidP="00AB2576">
      <w:pPr>
        <w:spacing w:after="0" w:line="240" w:lineRule="auto"/>
        <w:jc w:val="both"/>
        <w:rPr>
          <w:rFonts w:ascii="Arial" w:eastAsia="Arial" w:hAnsi="Arial" w:cs="Arial"/>
          <w:color w:val="000000" w:themeColor="text1"/>
          <w:sz w:val="20"/>
          <w:szCs w:val="20"/>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STF: RE 638.115, Tribunal Pleno, relator Min, Gilmar Mendes, julgamento de modulação em embargos declaratórios mencionado em outros tópicos desta inicial.</w:t>
      </w:r>
    </w:p>
  </w:footnote>
  <w:footnote w:id="12">
    <w:p w14:paraId="36FADF98" w14:textId="77777777" w:rsidR="00AB2576" w:rsidRDefault="00AB2576" w:rsidP="00AB2576">
      <w:pPr>
        <w:pStyle w:val="Textodenotaderodap"/>
        <w:jc w:val="both"/>
        <w:rPr>
          <w:rFonts w:ascii="Arial" w:eastAsia="Arial" w:hAnsi="Arial" w:cs="Arial"/>
          <w:color w:val="000000" w:themeColor="text1"/>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Lei 11.416/2016: “Art. 16. </w:t>
      </w:r>
      <w:proofErr w:type="spellStart"/>
      <w:r>
        <w:rPr>
          <w:rFonts w:ascii="Arial" w:eastAsia="Arial" w:hAnsi="Arial" w:cs="Arial"/>
          <w:color w:val="000000" w:themeColor="text1"/>
          <w:sz w:val="18"/>
          <w:szCs w:val="18"/>
        </w:rPr>
        <w:t>Fica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instituída</w:t>
      </w:r>
      <w:proofErr w:type="spellEnd"/>
      <w:r>
        <w:rPr>
          <w:rFonts w:ascii="Arial" w:eastAsia="Arial" w:hAnsi="Arial" w:cs="Arial"/>
          <w:color w:val="000000" w:themeColor="text1"/>
          <w:sz w:val="18"/>
          <w:szCs w:val="18"/>
        </w:rPr>
        <w:t xml:space="preserve"> a </w:t>
      </w:r>
      <w:proofErr w:type="spellStart"/>
      <w:r>
        <w:rPr>
          <w:rFonts w:ascii="Arial" w:eastAsia="Arial" w:hAnsi="Arial" w:cs="Arial"/>
          <w:color w:val="000000" w:themeColor="text1"/>
          <w:sz w:val="18"/>
          <w:szCs w:val="18"/>
        </w:rPr>
        <w:t>Gratificação</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Atividade</w:t>
      </w:r>
      <w:proofErr w:type="spellEnd"/>
      <w:r>
        <w:rPr>
          <w:rFonts w:ascii="Arial" w:eastAsia="Arial" w:hAnsi="Arial" w:cs="Arial"/>
          <w:color w:val="000000" w:themeColor="text1"/>
          <w:sz w:val="18"/>
          <w:szCs w:val="18"/>
        </w:rPr>
        <w:t xml:space="preserve"> Externa – GAE, </w:t>
      </w:r>
      <w:proofErr w:type="spellStart"/>
      <w:r>
        <w:rPr>
          <w:rFonts w:ascii="Arial" w:eastAsia="Arial" w:hAnsi="Arial" w:cs="Arial"/>
          <w:color w:val="000000" w:themeColor="text1"/>
          <w:sz w:val="18"/>
          <w:szCs w:val="18"/>
        </w:rPr>
        <w:t>devida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exclusivamente</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aos</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ocupantes</w:t>
      </w:r>
      <w:proofErr w:type="spellEnd"/>
      <w:r>
        <w:rPr>
          <w:rFonts w:ascii="Arial" w:eastAsia="Arial" w:hAnsi="Arial" w:cs="Arial"/>
          <w:color w:val="000000" w:themeColor="text1"/>
          <w:sz w:val="18"/>
          <w:szCs w:val="18"/>
        </w:rPr>
        <w:t xml:space="preserve"> do cargo de </w:t>
      </w:r>
      <w:proofErr w:type="spellStart"/>
      <w:r>
        <w:rPr>
          <w:rFonts w:ascii="Arial" w:eastAsia="Arial" w:hAnsi="Arial" w:cs="Arial"/>
          <w:color w:val="000000" w:themeColor="text1"/>
          <w:sz w:val="18"/>
          <w:szCs w:val="18"/>
        </w:rPr>
        <w:t>Analista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Judiciário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referidos</w:t>
      </w:r>
      <w:proofErr w:type="spellEnd"/>
      <w:r>
        <w:rPr>
          <w:rFonts w:ascii="Arial" w:eastAsia="Arial" w:hAnsi="Arial" w:cs="Arial"/>
          <w:color w:val="000000" w:themeColor="text1"/>
          <w:sz w:val="18"/>
          <w:szCs w:val="18"/>
        </w:rPr>
        <w:t xml:space="preserve"> no § 1º do art. 4º </w:t>
      </w:r>
      <w:proofErr w:type="spellStart"/>
      <w:r>
        <w:rPr>
          <w:rFonts w:ascii="Arial" w:eastAsia="Arial" w:hAnsi="Arial" w:cs="Arial"/>
          <w:color w:val="000000" w:themeColor="text1"/>
          <w:sz w:val="18"/>
          <w:szCs w:val="18"/>
        </w:rPr>
        <w:t>desta</w:t>
      </w:r>
      <w:proofErr w:type="spellEnd"/>
      <w:r>
        <w:rPr>
          <w:rFonts w:ascii="Arial" w:eastAsia="Arial" w:hAnsi="Arial" w:cs="Arial"/>
          <w:color w:val="000000" w:themeColor="text1"/>
          <w:sz w:val="18"/>
          <w:szCs w:val="18"/>
        </w:rPr>
        <w:t xml:space="preserve"> Lei. [...] § 2º É </w:t>
      </w:r>
      <w:proofErr w:type="spellStart"/>
      <w:r>
        <w:rPr>
          <w:rFonts w:ascii="Arial" w:eastAsia="Arial" w:hAnsi="Arial" w:cs="Arial"/>
          <w:color w:val="000000" w:themeColor="text1"/>
          <w:sz w:val="18"/>
          <w:szCs w:val="18"/>
        </w:rPr>
        <w:t>vedada</w:t>
      </w:r>
      <w:proofErr w:type="spellEnd"/>
      <w:r>
        <w:rPr>
          <w:rFonts w:ascii="Arial" w:eastAsia="Arial" w:hAnsi="Arial" w:cs="Arial"/>
          <w:color w:val="000000" w:themeColor="text1"/>
          <w:sz w:val="18"/>
          <w:szCs w:val="18"/>
        </w:rPr>
        <w:t xml:space="preserve"> a </w:t>
      </w:r>
      <w:proofErr w:type="spellStart"/>
      <w:r>
        <w:rPr>
          <w:rFonts w:ascii="Arial" w:eastAsia="Arial" w:hAnsi="Arial" w:cs="Arial"/>
          <w:color w:val="000000" w:themeColor="text1"/>
          <w:sz w:val="18"/>
          <w:szCs w:val="18"/>
        </w:rPr>
        <w:t>percepção</w:t>
      </w:r>
      <w:proofErr w:type="spellEnd"/>
      <w:r>
        <w:rPr>
          <w:rFonts w:ascii="Arial" w:eastAsia="Arial" w:hAnsi="Arial" w:cs="Arial"/>
          <w:color w:val="000000" w:themeColor="text1"/>
          <w:sz w:val="18"/>
          <w:szCs w:val="18"/>
        </w:rPr>
        <w:t xml:space="preserve"> da </w:t>
      </w:r>
      <w:proofErr w:type="spellStart"/>
      <w:r>
        <w:rPr>
          <w:rFonts w:ascii="Arial" w:eastAsia="Arial" w:hAnsi="Arial" w:cs="Arial"/>
          <w:color w:val="000000" w:themeColor="text1"/>
          <w:sz w:val="18"/>
          <w:szCs w:val="18"/>
        </w:rPr>
        <w:t>gratificação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prevista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neste</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artigo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pelo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servidor</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designado</w:t>
      </w:r>
      <w:proofErr w:type="spellEnd"/>
      <w:r>
        <w:rPr>
          <w:rFonts w:ascii="Arial" w:eastAsia="Arial" w:hAnsi="Arial" w:cs="Arial"/>
          <w:color w:val="000000" w:themeColor="text1"/>
          <w:sz w:val="18"/>
          <w:szCs w:val="18"/>
        </w:rPr>
        <w:t xml:space="preserve"> para </w:t>
      </w:r>
      <w:r>
        <w:rPr>
          <w:rFonts w:ascii="Arial" w:eastAsia="Arial" w:hAnsi="Arial" w:cs="Arial"/>
          <w:b/>
          <w:bCs/>
          <w:color w:val="000000" w:themeColor="text1"/>
          <w:sz w:val="18"/>
          <w:szCs w:val="18"/>
        </w:rPr>
        <w:t xml:space="preserve">o </w:t>
      </w:r>
      <w:proofErr w:type="spellStart"/>
      <w:r>
        <w:rPr>
          <w:rFonts w:ascii="Arial" w:eastAsia="Arial" w:hAnsi="Arial" w:cs="Arial"/>
          <w:b/>
          <w:bCs/>
          <w:color w:val="000000" w:themeColor="text1"/>
          <w:sz w:val="18"/>
          <w:szCs w:val="18"/>
        </w:rPr>
        <w:t>exercício</w:t>
      </w:r>
      <w:proofErr w:type="spellEnd"/>
      <w:r>
        <w:rPr>
          <w:rFonts w:ascii="Arial" w:eastAsia="Arial" w:hAnsi="Arial" w:cs="Arial"/>
          <w:color w:val="000000" w:themeColor="text1"/>
          <w:sz w:val="18"/>
          <w:szCs w:val="18"/>
        </w:rPr>
        <w:t xml:space="preserve"> de </w:t>
      </w:r>
      <w:proofErr w:type="spellStart"/>
      <w:r>
        <w:rPr>
          <w:rFonts w:ascii="Arial" w:eastAsia="Arial" w:hAnsi="Arial" w:cs="Arial"/>
          <w:color w:val="000000" w:themeColor="text1"/>
          <w:sz w:val="18"/>
          <w:szCs w:val="18"/>
        </w:rPr>
        <w:t>função</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comissionada</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ou</w:t>
      </w:r>
      <w:proofErr w:type="spellEnd"/>
      <w:r>
        <w:rPr>
          <w:rFonts w:ascii="Arial" w:eastAsia="Arial" w:hAnsi="Arial" w:cs="Arial"/>
          <w:color w:val="000000" w:themeColor="text1"/>
          <w:sz w:val="18"/>
          <w:szCs w:val="18"/>
        </w:rPr>
        <w:t xml:space="preserve"> </w:t>
      </w:r>
      <w:proofErr w:type="spellStart"/>
      <w:r>
        <w:rPr>
          <w:rFonts w:ascii="Arial" w:eastAsia="Arial" w:hAnsi="Arial" w:cs="Arial"/>
          <w:b/>
          <w:bCs/>
          <w:color w:val="000000" w:themeColor="text1"/>
          <w:sz w:val="18"/>
          <w:szCs w:val="18"/>
        </w:rPr>
        <w:t>nomeado</w:t>
      </w:r>
      <w:proofErr w:type="spellEnd"/>
      <w:r>
        <w:rPr>
          <w:rFonts w:ascii="Arial" w:eastAsia="Arial" w:hAnsi="Arial" w:cs="Arial"/>
          <w:color w:val="000000" w:themeColor="text1"/>
          <w:sz w:val="18"/>
          <w:szCs w:val="18"/>
        </w:rPr>
        <w:t xml:space="preserve"> para cargo </w:t>
      </w:r>
      <w:proofErr w:type="spellStart"/>
      <w:r>
        <w:rPr>
          <w:rFonts w:ascii="Arial" w:eastAsia="Arial" w:hAnsi="Arial" w:cs="Arial"/>
          <w:color w:val="000000" w:themeColor="text1"/>
          <w:sz w:val="18"/>
          <w:szCs w:val="18"/>
        </w:rPr>
        <w:t>em</w:t>
      </w:r>
      <w:proofErr w:type="spellEnd"/>
      <w:r>
        <w:rPr>
          <w:rFonts w:ascii="Arial" w:eastAsia="Arial" w:hAnsi="Arial" w:cs="Arial"/>
          <w:color w:val="000000" w:themeColor="text1"/>
          <w:sz w:val="18"/>
          <w:szCs w:val="18"/>
        </w:rPr>
        <w:t xml:space="preserve"> </w:t>
      </w:r>
      <w:proofErr w:type="spellStart"/>
      <w:r>
        <w:rPr>
          <w:rFonts w:ascii="Arial" w:eastAsia="Arial" w:hAnsi="Arial" w:cs="Arial"/>
          <w:color w:val="000000" w:themeColor="text1"/>
          <w:sz w:val="18"/>
          <w:szCs w:val="18"/>
        </w:rPr>
        <w:t>comissão</w:t>
      </w:r>
      <w:proofErr w:type="spellEnd"/>
      <w:r>
        <w:rPr>
          <w:rFonts w:ascii="Arial" w:eastAsia="Arial" w:hAnsi="Arial" w:cs="Arial"/>
          <w:color w:val="000000" w:themeColor="text1"/>
          <w:sz w:val="18"/>
          <w:szCs w:val="18"/>
        </w:rPr>
        <w:t>.”</w:t>
      </w:r>
    </w:p>
  </w:footnote>
  <w:footnote w:id="13">
    <w:p w14:paraId="56E2EE86" w14:textId="77777777" w:rsidR="00AB2576" w:rsidRDefault="00AB2576" w:rsidP="00AB2576">
      <w:pPr>
        <w:pStyle w:val="Textodenotaderodap"/>
        <w:jc w:val="both"/>
        <w:rPr>
          <w:rFonts w:ascii="Arial" w:eastAsia="Arial" w:hAnsi="Arial" w:cs="Arial"/>
          <w:color w:val="000000" w:themeColor="text1"/>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CJF – Proc. 0005894.06.2019.4.90.8000</w:t>
      </w:r>
    </w:p>
  </w:footnote>
  <w:footnote w:id="14">
    <w:p w14:paraId="080E954D"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Constituição da República: Art. 40. (...) § 12. Além do disposto neste artigo, serão observados, em regime próprio de previdência social, no que couber, os requisitos e critérios fixados para o Regime Geral de Previdência Social. (...) Art. 201. (...) § 11. Os ganhos habituais do empregado, a qualquer título, serão incorporados ao salário para efeito de contribuição previdenciária e </w:t>
      </w:r>
      <w:proofErr w:type="spellStart"/>
      <w:r>
        <w:rPr>
          <w:rFonts w:ascii="Arial" w:eastAsia="Arial" w:hAnsi="Arial" w:cs="Arial"/>
          <w:color w:val="000000" w:themeColor="text1"/>
          <w:sz w:val="18"/>
          <w:szCs w:val="18"/>
        </w:rPr>
        <w:t>conseqüente</w:t>
      </w:r>
      <w:proofErr w:type="spellEnd"/>
      <w:r>
        <w:rPr>
          <w:rFonts w:ascii="Arial" w:eastAsia="Arial" w:hAnsi="Arial" w:cs="Arial"/>
          <w:color w:val="000000" w:themeColor="text1"/>
          <w:sz w:val="18"/>
          <w:szCs w:val="18"/>
        </w:rPr>
        <w:t xml:space="preserve"> repercussão em benefícios, nos casos e na forma da lei.</w:t>
      </w:r>
    </w:p>
  </w:footnote>
  <w:footnote w:id="15">
    <w:p w14:paraId="32826950"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ADMINISTRATIVO. SERVIDOR PÚBLICO. OFICIAL DE JUSTIÇAAVALIADOR. JUSTIÇA DO TRABALHO. GRATIFICAÇÃO DE EXECUTANTE DE MANDADOS. EXTENSÃO ATO REGULAMENTAR 641/87-CJF. A Gratificação de Executante de Mandados não é devida automaticamente aos ocupantes do cargo de Oficial de Justiça-Avaliador, ficando seu exercício condicionado à indicação da chefia, tratando-se, portanto, de ato discricionário da Administração. Inviável a extensão do Ato Regulamentar nº 641/87 expedido pelo Conselho da Justiça Federal, por meio do qual foram criadas as Gratificações de Executante de Mandados no âmbito da Justiça Federal, para os servidores da Justiça do Trabalho. Prequestionamento quanto à legislação invocada estabelecido pelas razões de decidir. Apelação improvida. (TRF4, AC 2003.71.00.070778-2, TERCEIRA TURMA, Relator NICOLAU KONKEL JÚNIOR, D.E. 19/08/2009)</w:t>
      </w:r>
    </w:p>
  </w:footnote>
  <w:footnote w:id="16">
    <w:p w14:paraId="73819913"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A </w:t>
      </w:r>
      <w:r>
        <w:rPr>
          <w:rFonts w:ascii="Arial" w:eastAsia="Arial" w:hAnsi="Arial" w:cs="Arial"/>
          <w:b/>
          <w:bCs/>
          <w:color w:val="000000" w:themeColor="text1"/>
          <w:sz w:val="18"/>
          <w:szCs w:val="18"/>
        </w:rPr>
        <w:t>vantagem pessoal</w:t>
      </w:r>
      <w:r>
        <w:rPr>
          <w:rFonts w:ascii="Arial" w:eastAsia="Arial" w:hAnsi="Arial" w:cs="Arial"/>
          <w:color w:val="000000" w:themeColor="text1"/>
          <w:sz w:val="18"/>
          <w:szCs w:val="18"/>
        </w:rPr>
        <w:t xml:space="preserve">, regularmente apostilada pelo exercício do cargo em comissão, </w:t>
      </w:r>
      <w:r>
        <w:rPr>
          <w:rFonts w:ascii="Arial" w:eastAsia="Arial" w:hAnsi="Arial" w:cs="Arial"/>
          <w:b/>
          <w:bCs/>
          <w:color w:val="000000" w:themeColor="text1"/>
          <w:sz w:val="18"/>
          <w:szCs w:val="18"/>
        </w:rPr>
        <w:t>incorpora-se ao patrimônio do servidor, não podendo o percentual agregado ser suprimido sob pena de ofensa ao direito adquirido</w:t>
      </w:r>
      <w:r>
        <w:rPr>
          <w:rFonts w:ascii="Arial" w:eastAsia="Arial" w:hAnsi="Arial" w:cs="Arial"/>
          <w:color w:val="000000" w:themeColor="text1"/>
          <w:sz w:val="18"/>
          <w:szCs w:val="18"/>
        </w:rPr>
        <w:t xml:space="preserve"> (Acórdão unânime da 2ª Turma do Supremo Tribunal Federal Agravo Regimental no Agravo de Instrumento 208.932-3-SC Relator: Ministro Maurício Corrêa, julgado em 21.08.2001) (grifou-se)(...) 1 - Consoante uníssona jurisprudência desta Corte Superior, através de suas 5ª e 6ª Turmas, competentes para julgar o tema (cf. entre outros, ROMS </w:t>
      </w:r>
      <w:proofErr w:type="spellStart"/>
      <w:r>
        <w:rPr>
          <w:rFonts w:ascii="Arial" w:eastAsia="Arial" w:hAnsi="Arial" w:cs="Arial"/>
          <w:color w:val="000000" w:themeColor="text1"/>
          <w:sz w:val="18"/>
          <w:szCs w:val="18"/>
        </w:rPr>
        <w:t>nºs</w:t>
      </w:r>
      <w:proofErr w:type="spellEnd"/>
      <w:r>
        <w:rPr>
          <w:rFonts w:ascii="Arial" w:eastAsia="Arial" w:hAnsi="Arial" w:cs="Arial"/>
          <w:color w:val="000000" w:themeColor="text1"/>
          <w:sz w:val="18"/>
          <w:szCs w:val="18"/>
        </w:rPr>
        <w:t xml:space="preserve"> 12.122/DF, 12.138/DF, 11.676/DF, 11.172/RS; e REsp </w:t>
      </w:r>
      <w:proofErr w:type="spellStart"/>
      <w:r>
        <w:rPr>
          <w:rFonts w:ascii="Arial" w:eastAsia="Arial" w:hAnsi="Arial" w:cs="Arial"/>
          <w:color w:val="000000" w:themeColor="text1"/>
          <w:sz w:val="18"/>
          <w:szCs w:val="18"/>
        </w:rPr>
        <w:t>nºs</w:t>
      </w:r>
      <w:proofErr w:type="spellEnd"/>
      <w:r>
        <w:rPr>
          <w:rFonts w:ascii="Arial" w:eastAsia="Arial" w:hAnsi="Arial" w:cs="Arial"/>
          <w:color w:val="000000" w:themeColor="text1"/>
          <w:sz w:val="18"/>
          <w:szCs w:val="18"/>
        </w:rPr>
        <w:t xml:space="preserve"> 254.709/DF, 396.791/DF, 275.189/DF), </w:t>
      </w:r>
      <w:r>
        <w:rPr>
          <w:rFonts w:ascii="Arial" w:eastAsia="Arial" w:hAnsi="Arial" w:cs="Arial"/>
          <w:b/>
          <w:bCs/>
          <w:color w:val="000000" w:themeColor="text1"/>
          <w:sz w:val="18"/>
          <w:szCs w:val="18"/>
        </w:rPr>
        <w:t xml:space="preserve">os chamados "quintos", uma vez incorporados, tornam-se vantagens pessoais, não podendo mais ser retirados do patrimônio de seus beneficiários. </w:t>
      </w:r>
      <w:r>
        <w:rPr>
          <w:rFonts w:ascii="Arial" w:eastAsia="Arial" w:hAnsi="Arial" w:cs="Arial"/>
          <w:color w:val="000000" w:themeColor="text1"/>
          <w:sz w:val="18"/>
          <w:szCs w:val="18"/>
        </w:rPr>
        <w:t xml:space="preserve">(...) (STJ. 5ª Turma, RMS nº 13.299-DF, rel. Min. Jorge </w:t>
      </w:r>
      <w:proofErr w:type="spellStart"/>
      <w:r>
        <w:rPr>
          <w:rFonts w:ascii="Arial" w:eastAsia="Arial" w:hAnsi="Arial" w:cs="Arial"/>
          <w:color w:val="000000" w:themeColor="text1"/>
          <w:sz w:val="18"/>
          <w:szCs w:val="18"/>
        </w:rPr>
        <w:t>Scartezzini</w:t>
      </w:r>
      <w:proofErr w:type="spellEnd"/>
      <w:r>
        <w:rPr>
          <w:rFonts w:ascii="Arial" w:eastAsia="Arial" w:hAnsi="Arial" w:cs="Arial"/>
          <w:color w:val="000000" w:themeColor="text1"/>
          <w:sz w:val="18"/>
          <w:szCs w:val="18"/>
        </w:rPr>
        <w:t>, DJ d 13-10-03, p. 378). (</w:t>
      </w:r>
      <w:proofErr w:type="gramStart"/>
      <w:r>
        <w:rPr>
          <w:rFonts w:ascii="Arial" w:eastAsia="Arial" w:hAnsi="Arial" w:cs="Arial"/>
          <w:color w:val="000000" w:themeColor="text1"/>
          <w:sz w:val="18"/>
          <w:szCs w:val="18"/>
        </w:rPr>
        <w:t>grifou</w:t>
      </w:r>
      <w:proofErr w:type="gramEnd"/>
      <w:r>
        <w:rPr>
          <w:rFonts w:ascii="Arial" w:eastAsia="Arial" w:hAnsi="Arial" w:cs="Arial"/>
          <w:color w:val="000000" w:themeColor="text1"/>
          <w:sz w:val="18"/>
          <w:szCs w:val="18"/>
        </w:rPr>
        <w:t>-se)</w:t>
      </w:r>
    </w:p>
  </w:footnote>
  <w:footnote w:id="17">
    <w:p w14:paraId="4DDA5142"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Conforme o constitucionalista português, “a segurança jurídica está conexionada com elementos </w:t>
      </w:r>
      <w:proofErr w:type="spellStart"/>
      <w:r>
        <w:rPr>
          <w:rFonts w:ascii="Arial" w:eastAsia="Arial" w:hAnsi="Arial" w:cs="Arial"/>
          <w:color w:val="000000" w:themeColor="text1"/>
          <w:sz w:val="18"/>
          <w:szCs w:val="18"/>
        </w:rPr>
        <w:t>objectivos</w:t>
      </w:r>
      <w:proofErr w:type="spellEnd"/>
      <w:r>
        <w:rPr>
          <w:rFonts w:ascii="Arial" w:eastAsia="Arial" w:hAnsi="Arial" w:cs="Arial"/>
          <w:color w:val="000000" w:themeColor="text1"/>
          <w:sz w:val="18"/>
          <w:szCs w:val="18"/>
        </w:rPr>
        <w:t xml:space="preserve"> da ordem jurídica – garantia de estabilidade jurídica, segurança de orientação e realização do direito – enquanto a proteção da confiança se prende mais com as componentes </w:t>
      </w:r>
      <w:proofErr w:type="spellStart"/>
      <w:r>
        <w:rPr>
          <w:rFonts w:ascii="Arial" w:eastAsia="Arial" w:hAnsi="Arial" w:cs="Arial"/>
          <w:color w:val="000000" w:themeColor="text1"/>
          <w:sz w:val="18"/>
          <w:szCs w:val="18"/>
        </w:rPr>
        <w:t>subjectivas</w:t>
      </w:r>
      <w:proofErr w:type="spellEnd"/>
      <w:r>
        <w:rPr>
          <w:rFonts w:ascii="Arial" w:eastAsia="Arial" w:hAnsi="Arial" w:cs="Arial"/>
          <w:color w:val="000000" w:themeColor="text1"/>
          <w:sz w:val="18"/>
          <w:szCs w:val="18"/>
        </w:rPr>
        <w:t xml:space="preserve"> da confiança, designadamente a </w:t>
      </w:r>
      <w:proofErr w:type="spellStart"/>
      <w:r>
        <w:rPr>
          <w:rFonts w:ascii="Arial" w:eastAsia="Arial" w:hAnsi="Arial" w:cs="Arial"/>
          <w:color w:val="000000" w:themeColor="text1"/>
          <w:sz w:val="18"/>
          <w:szCs w:val="18"/>
        </w:rPr>
        <w:t>calculabilidade</w:t>
      </w:r>
      <w:proofErr w:type="spellEnd"/>
      <w:r>
        <w:rPr>
          <w:rFonts w:ascii="Arial" w:eastAsia="Arial" w:hAnsi="Arial" w:cs="Arial"/>
          <w:color w:val="000000" w:themeColor="text1"/>
          <w:sz w:val="18"/>
          <w:szCs w:val="18"/>
        </w:rPr>
        <w:t xml:space="preserve"> e previsibilidade dos indivíduos em relação aos efeitos jurídicos dos </w:t>
      </w:r>
      <w:proofErr w:type="spellStart"/>
      <w:r>
        <w:rPr>
          <w:rFonts w:ascii="Arial" w:eastAsia="Arial" w:hAnsi="Arial" w:cs="Arial"/>
          <w:color w:val="000000" w:themeColor="text1"/>
          <w:sz w:val="18"/>
          <w:szCs w:val="18"/>
        </w:rPr>
        <w:t>actos</w:t>
      </w:r>
      <w:proofErr w:type="spellEnd"/>
      <w:r>
        <w:rPr>
          <w:rFonts w:ascii="Arial" w:eastAsia="Arial" w:hAnsi="Arial" w:cs="Arial"/>
          <w:color w:val="000000" w:themeColor="text1"/>
          <w:sz w:val="18"/>
          <w:szCs w:val="18"/>
        </w:rPr>
        <w:t xml:space="preserve"> dos poderes públicos” (CANOTILHO, J. J. Gomes. Direito constitucional e teoria da constituição, 3ª ed. Coimbra: Almedina, 1999, p. 252)</w:t>
      </w:r>
    </w:p>
  </w:footnote>
  <w:footnote w:id="18">
    <w:p w14:paraId="4B6C256C" w14:textId="77777777" w:rsidR="00AB2576" w:rsidRDefault="00AB2576" w:rsidP="00AB2576">
      <w:pPr>
        <w:spacing w:after="0" w:line="240" w:lineRule="auto"/>
        <w:jc w:val="both"/>
        <w:rPr>
          <w:rFonts w:ascii="Calibri" w:eastAsia="Calibri" w:hAnsi="Calibri" w:cs="Times New Roman"/>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 xml:space="preserve">Ibid., op. cit., p. 252. Assim, por força do princípio da segurança jurídica, considerado em sentido amplo, arremata </w:t>
      </w:r>
      <w:proofErr w:type="spellStart"/>
      <w:r>
        <w:rPr>
          <w:rFonts w:ascii="Arial" w:eastAsia="Arial" w:hAnsi="Arial" w:cs="Arial"/>
          <w:color w:val="000000" w:themeColor="text1"/>
          <w:sz w:val="18"/>
          <w:szCs w:val="18"/>
        </w:rPr>
        <w:t>Canotilho</w:t>
      </w:r>
      <w:proofErr w:type="spellEnd"/>
      <w:r>
        <w:rPr>
          <w:rFonts w:ascii="Arial" w:eastAsia="Arial" w:hAnsi="Arial" w:cs="Arial"/>
          <w:color w:val="000000" w:themeColor="text1"/>
          <w:sz w:val="18"/>
          <w:szCs w:val="18"/>
        </w:rPr>
        <w:t xml:space="preserve"> que o indivíduo tem </w:t>
      </w:r>
      <w:proofErr w:type="gramStart"/>
      <w:r>
        <w:rPr>
          <w:rFonts w:ascii="Arial" w:eastAsia="Arial" w:hAnsi="Arial" w:cs="Arial"/>
          <w:color w:val="000000" w:themeColor="text1"/>
          <w:sz w:val="18"/>
          <w:szCs w:val="18"/>
        </w:rPr>
        <w:t>do</w:t>
      </w:r>
      <w:proofErr w:type="gramEnd"/>
      <w:r>
        <w:rPr>
          <w:rFonts w:ascii="Arial" w:eastAsia="Arial" w:hAnsi="Arial" w:cs="Arial"/>
          <w:color w:val="000000" w:themeColor="text1"/>
          <w:sz w:val="18"/>
          <w:szCs w:val="18"/>
        </w:rPr>
        <w:t xml:space="preserve"> direito poder confiar em que aos seus atos ou às decisões públicas incidentes sobre os seus direitos, posições ou relações jurídicas alicerçados em normas jurídicas vigentes e válidas, decorrem os efeitos jurídicos previstos e prescritos pelo ordenamento jurídico.</w:t>
      </w:r>
    </w:p>
  </w:footnote>
  <w:footnote w:id="19">
    <w:p w14:paraId="0EE46EEA"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No mesmo sentido é a Lei Complementar Distrital 840, de 2011: Art. 120. [...] Parágrafo único. É vedado exigir reposição de valor em virtude de aplicação retroativa de nova interpretação da norma de regência.</w:t>
      </w:r>
    </w:p>
  </w:footnote>
  <w:footnote w:id="20">
    <w:p w14:paraId="6C7FAFD7"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Lei 9.784, de 1999: “Art. 2º A Administração Pública obedecerá, dentre outros, aos princípios da legalidade, finalidade, motivação, razoabilidade, proporcionalidade, moralidade, ampla defesa, contraditório, segurança jurídica, interesse público e eficiência.</w:t>
      </w:r>
    </w:p>
  </w:footnote>
  <w:footnote w:id="21">
    <w:p w14:paraId="5F4A1A55" w14:textId="77777777" w:rsidR="00AB2576" w:rsidRDefault="00AB2576" w:rsidP="00AB2576">
      <w:pPr>
        <w:spacing w:after="0" w:line="240" w:lineRule="auto"/>
        <w:jc w:val="both"/>
        <w:rPr>
          <w:rFonts w:ascii="Arial" w:eastAsia="Arial" w:hAnsi="Arial" w:cs="Arial"/>
          <w:color w:val="000000" w:themeColor="text1"/>
          <w:sz w:val="18"/>
          <w:szCs w:val="18"/>
        </w:rPr>
      </w:pPr>
      <w:r>
        <w:rPr>
          <w:rStyle w:val="Refdenotaderodap"/>
          <w:rFonts w:ascii="Arial" w:eastAsia="Arial" w:hAnsi="Arial" w:cs="Arial"/>
          <w:sz w:val="18"/>
          <w:szCs w:val="18"/>
        </w:rPr>
        <w:footnoteRef/>
      </w:r>
      <w:r>
        <w:rPr>
          <w:rFonts w:ascii="Arial" w:eastAsia="Arial" w:hAnsi="Arial" w:cs="Arial"/>
          <w:sz w:val="18"/>
          <w:szCs w:val="18"/>
        </w:rPr>
        <w:t xml:space="preserve"> </w:t>
      </w:r>
      <w:r>
        <w:rPr>
          <w:rFonts w:ascii="Arial" w:eastAsia="Arial" w:hAnsi="Arial" w:cs="Arial"/>
          <w:color w:val="000000" w:themeColor="text1"/>
          <w:sz w:val="18"/>
          <w:szCs w:val="18"/>
        </w:rPr>
        <w:t>Disponível em: https://jurisprudencia.stf.jus.br/pages/search/sjur426663/false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47C"/>
    <w:multiLevelType w:val="hybridMultilevel"/>
    <w:tmpl w:val="FFFFFFFF"/>
    <w:lvl w:ilvl="0" w:tplc="0C44CC50">
      <w:start w:val="1"/>
      <w:numFmt w:val="decimal"/>
      <w:lvlText w:val="%1)"/>
      <w:lvlJc w:val="left"/>
      <w:pPr>
        <w:ind w:left="720" w:hanging="360"/>
      </w:pPr>
    </w:lvl>
    <w:lvl w:ilvl="1" w:tplc="B700E9EA">
      <w:start w:val="1"/>
      <w:numFmt w:val="lowerLetter"/>
      <w:lvlText w:val="%2."/>
      <w:lvlJc w:val="left"/>
      <w:pPr>
        <w:ind w:left="1440" w:hanging="360"/>
      </w:pPr>
    </w:lvl>
    <w:lvl w:ilvl="2" w:tplc="72D25D02">
      <w:start w:val="1"/>
      <w:numFmt w:val="lowerRoman"/>
      <w:lvlText w:val="%3."/>
      <w:lvlJc w:val="right"/>
      <w:pPr>
        <w:ind w:left="2160" w:hanging="180"/>
      </w:pPr>
    </w:lvl>
    <w:lvl w:ilvl="3" w:tplc="A0C0581E">
      <w:start w:val="1"/>
      <w:numFmt w:val="decimal"/>
      <w:lvlText w:val="%4."/>
      <w:lvlJc w:val="left"/>
      <w:pPr>
        <w:ind w:left="2880" w:hanging="360"/>
      </w:pPr>
    </w:lvl>
    <w:lvl w:ilvl="4" w:tplc="EB5E0216">
      <w:start w:val="1"/>
      <w:numFmt w:val="lowerLetter"/>
      <w:lvlText w:val="%5."/>
      <w:lvlJc w:val="left"/>
      <w:pPr>
        <w:ind w:left="3600" w:hanging="360"/>
      </w:pPr>
    </w:lvl>
    <w:lvl w:ilvl="5" w:tplc="82321C28">
      <w:start w:val="1"/>
      <w:numFmt w:val="lowerRoman"/>
      <w:lvlText w:val="%6."/>
      <w:lvlJc w:val="right"/>
      <w:pPr>
        <w:ind w:left="4320" w:hanging="180"/>
      </w:pPr>
    </w:lvl>
    <w:lvl w:ilvl="6" w:tplc="9836D52E">
      <w:start w:val="1"/>
      <w:numFmt w:val="decimal"/>
      <w:lvlText w:val="%7."/>
      <w:lvlJc w:val="left"/>
      <w:pPr>
        <w:ind w:left="5040" w:hanging="360"/>
      </w:pPr>
    </w:lvl>
    <w:lvl w:ilvl="7" w:tplc="D95EA096">
      <w:start w:val="1"/>
      <w:numFmt w:val="lowerLetter"/>
      <w:lvlText w:val="%8."/>
      <w:lvlJc w:val="left"/>
      <w:pPr>
        <w:ind w:left="5760" w:hanging="360"/>
      </w:pPr>
    </w:lvl>
    <w:lvl w:ilvl="8" w:tplc="103AC54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79"/>
    <w:rsid w:val="00004EEB"/>
    <w:rsid w:val="000D5FC4"/>
    <w:rsid w:val="000E5C5D"/>
    <w:rsid w:val="0011055A"/>
    <w:rsid w:val="001912A2"/>
    <w:rsid w:val="001E0E6F"/>
    <w:rsid w:val="002126BB"/>
    <w:rsid w:val="00255CC3"/>
    <w:rsid w:val="003138AF"/>
    <w:rsid w:val="00345BF0"/>
    <w:rsid w:val="004A1C08"/>
    <w:rsid w:val="00510C87"/>
    <w:rsid w:val="00587C70"/>
    <w:rsid w:val="005A5C3D"/>
    <w:rsid w:val="00683ABC"/>
    <w:rsid w:val="0075341A"/>
    <w:rsid w:val="007F07F8"/>
    <w:rsid w:val="00800625"/>
    <w:rsid w:val="00830E83"/>
    <w:rsid w:val="00875ADB"/>
    <w:rsid w:val="008B2EFF"/>
    <w:rsid w:val="00937179"/>
    <w:rsid w:val="00A4126E"/>
    <w:rsid w:val="00A6033E"/>
    <w:rsid w:val="00AB2576"/>
    <w:rsid w:val="00AEFE65"/>
    <w:rsid w:val="00B71782"/>
    <w:rsid w:val="00B94574"/>
    <w:rsid w:val="00BF2019"/>
    <w:rsid w:val="00C84E36"/>
    <w:rsid w:val="00CD04B8"/>
    <w:rsid w:val="00D1386F"/>
    <w:rsid w:val="00D54F7B"/>
    <w:rsid w:val="00D93205"/>
    <w:rsid w:val="00DC0746"/>
    <w:rsid w:val="00DD2804"/>
    <w:rsid w:val="00E645F6"/>
    <w:rsid w:val="00E74B5F"/>
    <w:rsid w:val="00E85C4F"/>
    <w:rsid w:val="00FB0719"/>
    <w:rsid w:val="00FD2E94"/>
    <w:rsid w:val="00FE37AF"/>
    <w:rsid w:val="00FF1889"/>
    <w:rsid w:val="0263D1CF"/>
    <w:rsid w:val="03319E3F"/>
    <w:rsid w:val="04CF05E6"/>
    <w:rsid w:val="04EEB184"/>
    <w:rsid w:val="04EF77DA"/>
    <w:rsid w:val="051BE358"/>
    <w:rsid w:val="05580B18"/>
    <w:rsid w:val="06222B84"/>
    <w:rsid w:val="06CA919B"/>
    <w:rsid w:val="07444DD8"/>
    <w:rsid w:val="077AE7B5"/>
    <w:rsid w:val="07AF670F"/>
    <w:rsid w:val="08644A62"/>
    <w:rsid w:val="0914A0BD"/>
    <w:rsid w:val="09937C5E"/>
    <w:rsid w:val="0A285D9F"/>
    <w:rsid w:val="0A7D4615"/>
    <w:rsid w:val="0A82D927"/>
    <w:rsid w:val="0AA4D4A2"/>
    <w:rsid w:val="0AF2C002"/>
    <w:rsid w:val="0B070B86"/>
    <w:rsid w:val="0B288391"/>
    <w:rsid w:val="0B67577F"/>
    <w:rsid w:val="0BA89D33"/>
    <w:rsid w:val="0C20ADF8"/>
    <w:rsid w:val="0CAFFCF2"/>
    <w:rsid w:val="0D578952"/>
    <w:rsid w:val="0DE86CEB"/>
    <w:rsid w:val="0DF96660"/>
    <w:rsid w:val="0E46166F"/>
    <w:rsid w:val="0E5A6C74"/>
    <w:rsid w:val="0EB2A790"/>
    <w:rsid w:val="0EC1197E"/>
    <w:rsid w:val="0EFA907A"/>
    <w:rsid w:val="0F8C2DE7"/>
    <w:rsid w:val="10459D1A"/>
    <w:rsid w:val="11460A70"/>
    <w:rsid w:val="11C7D8C5"/>
    <w:rsid w:val="12D26120"/>
    <w:rsid w:val="12D6B8D0"/>
    <w:rsid w:val="12E33656"/>
    <w:rsid w:val="135915AC"/>
    <w:rsid w:val="140A4093"/>
    <w:rsid w:val="140FCCAD"/>
    <w:rsid w:val="14588843"/>
    <w:rsid w:val="148B6F67"/>
    <w:rsid w:val="14E36F3A"/>
    <w:rsid w:val="1549278A"/>
    <w:rsid w:val="15CD6C02"/>
    <w:rsid w:val="15F5EB0E"/>
    <w:rsid w:val="16023F69"/>
    <w:rsid w:val="1661907E"/>
    <w:rsid w:val="17F71A94"/>
    <w:rsid w:val="18082D72"/>
    <w:rsid w:val="186B6201"/>
    <w:rsid w:val="18D37F05"/>
    <w:rsid w:val="18DA1D68"/>
    <w:rsid w:val="1975803D"/>
    <w:rsid w:val="1978389B"/>
    <w:rsid w:val="19E0DFDF"/>
    <w:rsid w:val="1BB30861"/>
    <w:rsid w:val="1BE97EB3"/>
    <w:rsid w:val="1C4F9AF6"/>
    <w:rsid w:val="1C5448AE"/>
    <w:rsid w:val="1CDE6660"/>
    <w:rsid w:val="1CFFBA89"/>
    <w:rsid w:val="1E3B68C8"/>
    <w:rsid w:val="1E818A66"/>
    <w:rsid w:val="1ECE7883"/>
    <w:rsid w:val="1F253FE9"/>
    <w:rsid w:val="1F4B530D"/>
    <w:rsid w:val="1F8DE66A"/>
    <w:rsid w:val="20723B1F"/>
    <w:rsid w:val="20A0205B"/>
    <w:rsid w:val="2284FBDB"/>
    <w:rsid w:val="2358B59E"/>
    <w:rsid w:val="236FF994"/>
    <w:rsid w:val="23E1EE77"/>
    <w:rsid w:val="24A75DF7"/>
    <w:rsid w:val="24B8D747"/>
    <w:rsid w:val="24CDA558"/>
    <w:rsid w:val="25268F19"/>
    <w:rsid w:val="25DEEFEE"/>
    <w:rsid w:val="25F374FB"/>
    <w:rsid w:val="26143F54"/>
    <w:rsid w:val="272F8015"/>
    <w:rsid w:val="2833BFB1"/>
    <w:rsid w:val="2913C50D"/>
    <w:rsid w:val="291EABE7"/>
    <w:rsid w:val="294899EA"/>
    <w:rsid w:val="29DBB499"/>
    <w:rsid w:val="2B77DAEC"/>
    <w:rsid w:val="2BCA4B6B"/>
    <w:rsid w:val="2CCA362D"/>
    <w:rsid w:val="2CDBB561"/>
    <w:rsid w:val="2D2F79EF"/>
    <w:rsid w:val="2DCCF5D7"/>
    <w:rsid w:val="2E0221CB"/>
    <w:rsid w:val="2E464CC5"/>
    <w:rsid w:val="2E531BD4"/>
    <w:rsid w:val="2E5CCAC9"/>
    <w:rsid w:val="2F400187"/>
    <w:rsid w:val="2F76F43A"/>
    <w:rsid w:val="2F7BB083"/>
    <w:rsid w:val="2FA7BF1F"/>
    <w:rsid w:val="301A6ADF"/>
    <w:rsid w:val="30F74662"/>
    <w:rsid w:val="316779AD"/>
    <w:rsid w:val="31B5481F"/>
    <w:rsid w:val="31D7F0E1"/>
    <w:rsid w:val="32180CE5"/>
    <w:rsid w:val="329E78FC"/>
    <w:rsid w:val="32B7FAA3"/>
    <w:rsid w:val="32C99F98"/>
    <w:rsid w:val="32DCC2EF"/>
    <w:rsid w:val="33F6EAD6"/>
    <w:rsid w:val="3466A75B"/>
    <w:rsid w:val="34D04CE3"/>
    <w:rsid w:val="350D2B9F"/>
    <w:rsid w:val="353DC904"/>
    <w:rsid w:val="357D53B4"/>
    <w:rsid w:val="35A183F2"/>
    <w:rsid w:val="35B05E09"/>
    <w:rsid w:val="3691BD05"/>
    <w:rsid w:val="36AAB6F9"/>
    <w:rsid w:val="3750BF91"/>
    <w:rsid w:val="37AE9645"/>
    <w:rsid w:val="3869E434"/>
    <w:rsid w:val="38CEBEE3"/>
    <w:rsid w:val="38E2D70F"/>
    <w:rsid w:val="39064ED1"/>
    <w:rsid w:val="3919774E"/>
    <w:rsid w:val="3944EB09"/>
    <w:rsid w:val="3A2BEF71"/>
    <w:rsid w:val="3A3A18C5"/>
    <w:rsid w:val="3A898692"/>
    <w:rsid w:val="3AE3B805"/>
    <w:rsid w:val="3AE50F16"/>
    <w:rsid w:val="3B7D0D5C"/>
    <w:rsid w:val="3C155742"/>
    <w:rsid w:val="3C2A9028"/>
    <w:rsid w:val="3C40B042"/>
    <w:rsid w:val="3CD2BA3C"/>
    <w:rsid w:val="3D7D353A"/>
    <w:rsid w:val="3DCEF3A9"/>
    <w:rsid w:val="3E1F86C4"/>
    <w:rsid w:val="3EC33EC5"/>
    <w:rsid w:val="3EF079E2"/>
    <w:rsid w:val="3EF3AACD"/>
    <w:rsid w:val="3F4CAB88"/>
    <w:rsid w:val="3F92D8AB"/>
    <w:rsid w:val="40433007"/>
    <w:rsid w:val="407C2999"/>
    <w:rsid w:val="415E3998"/>
    <w:rsid w:val="41B5769C"/>
    <w:rsid w:val="41ED313D"/>
    <w:rsid w:val="42260FAE"/>
    <w:rsid w:val="423536B9"/>
    <w:rsid w:val="427BF756"/>
    <w:rsid w:val="427E3923"/>
    <w:rsid w:val="42B216B7"/>
    <w:rsid w:val="42F45990"/>
    <w:rsid w:val="43AA0315"/>
    <w:rsid w:val="43EA9C75"/>
    <w:rsid w:val="4407DBD9"/>
    <w:rsid w:val="451FAD6A"/>
    <w:rsid w:val="456A3AE7"/>
    <w:rsid w:val="467F7524"/>
    <w:rsid w:val="46839497"/>
    <w:rsid w:val="46B5F06A"/>
    <w:rsid w:val="46E30675"/>
    <w:rsid w:val="46ED0D53"/>
    <w:rsid w:val="4764F51C"/>
    <w:rsid w:val="484E45C7"/>
    <w:rsid w:val="4891B7BF"/>
    <w:rsid w:val="48968CE5"/>
    <w:rsid w:val="48A961C8"/>
    <w:rsid w:val="48AABAD9"/>
    <w:rsid w:val="4906667A"/>
    <w:rsid w:val="49B88A61"/>
    <w:rsid w:val="49FDD430"/>
    <w:rsid w:val="4A532059"/>
    <w:rsid w:val="4A6B1051"/>
    <w:rsid w:val="4AFA39AF"/>
    <w:rsid w:val="4B106268"/>
    <w:rsid w:val="4B1D848A"/>
    <w:rsid w:val="4B5949D3"/>
    <w:rsid w:val="4BD735AC"/>
    <w:rsid w:val="4C0353BF"/>
    <w:rsid w:val="4D7FC44B"/>
    <w:rsid w:val="4E0A041D"/>
    <w:rsid w:val="4EAB0086"/>
    <w:rsid w:val="4F46FD96"/>
    <w:rsid w:val="4F73624B"/>
    <w:rsid w:val="4F7D121A"/>
    <w:rsid w:val="4FB8F6ED"/>
    <w:rsid w:val="4FE64CD8"/>
    <w:rsid w:val="501112C1"/>
    <w:rsid w:val="506D0EC2"/>
    <w:rsid w:val="5296733C"/>
    <w:rsid w:val="5297C425"/>
    <w:rsid w:val="52BF7998"/>
    <w:rsid w:val="52C06C0F"/>
    <w:rsid w:val="533F485D"/>
    <w:rsid w:val="53E83860"/>
    <w:rsid w:val="53EA71CD"/>
    <w:rsid w:val="54D41EA0"/>
    <w:rsid w:val="54EBE6BA"/>
    <w:rsid w:val="55320895"/>
    <w:rsid w:val="5590FFCB"/>
    <w:rsid w:val="562087E7"/>
    <w:rsid w:val="56240CD7"/>
    <w:rsid w:val="573AF15B"/>
    <w:rsid w:val="57BCE3E7"/>
    <w:rsid w:val="590D73D1"/>
    <w:rsid w:val="597DD578"/>
    <w:rsid w:val="59A55FB7"/>
    <w:rsid w:val="5B352E3F"/>
    <w:rsid w:val="5B94977D"/>
    <w:rsid w:val="5C94267A"/>
    <w:rsid w:val="5CB3D07D"/>
    <w:rsid w:val="5D5ADACF"/>
    <w:rsid w:val="5E0D6015"/>
    <w:rsid w:val="5E820F76"/>
    <w:rsid w:val="5E9E317E"/>
    <w:rsid w:val="5F994CAA"/>
    <w:rsid w:val="5FA4FAB7"/>
    <w:rsid w:val="5FECF5F6"/>
    <w:rsid w:val="606ACBE9"/>
    <w:rsid w:val="6079155E"/>
    <w:rsid w:val="60BB0232"/>
    <w:rsid w:val="60CF333E"/>
    <w:rsid w:val="61231F6A"/>
    <w:rsid w:val="61355A88"/>
    <w:rsid w:val="61439AF7"/>
    <w:rsid w:val="6168856F"/>
    <w:rsid w:val="618A4608"/>
    <w:rsid w:val="61B086DC"/>
    <w:rsid w:val="61FC63E9"/>
    <w:rsid w:val="62271DEE"/>
    <w:rsid w:val="638939AA"/>
    <w:rsid w:val="64301619"/>
    <w:rsid w:val="64EADF12"/>
    <w:rsid w:val="65897F99"/>
    <w:rsid w:val="6592A772"/>
    <w:rsid w:val="6596F3CE"/>
    <w:rsid w:val="65AEBDF4"/>
    <w:rsid w:val="66B01620"/>
    <w:rsid w:val="67907E98"/>
    <w:rsid w:val="67BB6994"/>
    <w:rsid w:val="67D1A731"/>
    <w:rsid w:val="6842D27E"/>
    <w:rsid w:val="6856D07B"/>
    <w:rsid w:val="68A8004B"/>
    <w:rsid w:val="693D0EFE"/>
    <w:rsid w:val="695EE676"/>
    <w:rsid w:val="696988AB"/>
    <w:rsid w:val="698FF940"/>
    <w:rsid w:val="69B7C9C1"/>
    <w:rsid w:val="69E4BE40"/>
    <w:rsid w:val="6A2FBF33"/>
    <w:rsid w:val="6A55E696"/>
    <w:rsid w:val="6ADD4362"/>
    <w:rsid w:val="6B50E240"/>
    <w:rsid w:val="6C550B91"/>
    <w:rsid w:val="6D0D3A3A"/>
    <w:rsid w:val="6DB6B2D6"/>
    <w:rsid w:val="6DC717F0"/>
    <w:rsid w:val="6E44BFB9"/>
    <w:rsid w:val="6E6D5ABF"/>
    <w:rsid w:val="6EC0747E"/>
    <w:rsid w:val="6EEF406C"/>
    <w:rsid w:val="6F4A8C3E"/>
    <w:rsid w:val="6F59B7CA"/>
    <w:rsid w:val="7055E937"/>
    <w:rsid w:val="71105C84"/>
    <w:rsid w:val="71BE657D"/>
    <w:rsid w:val="71C4C16B"/>
    <w:rsid w:val="72B3C144"/>
    <w:rsid w:val="72B9FC56"/>
    <w:rsid w:val="73C900DE"/>
    <w:rsid w:val="744BCEF1"/>
    <w:rsid w:val="745FB1CE"/>
    <w:rsid w:val="75D0D483"/>
    <w:rsid w:val="75E6B7F5"/>
    <w:rsid w:val="76116DF4"/>
    <w:rsid w:val="76633B70"/>
    <w:rsid w:val="7696EA4E"/>
    <w:rsid w:val="76C7F57C"/>
    <w:rsid w:val="773DE74B"/>
    <w:rsid w:val="774B9B8F"/>
    <w:rsid w:val="782674F6"/>
    <w:rsid w:val="78A323B8"/>
    <w:rsid w:val="78AE5E7D"/>
    <w:rsid w:val="799DA975"/>
    <w:rsid w:val="79BC0BBE"/>
    <w:rsid w:val="79EE61F8"/>
    <w:rsid w:val="7A4DC564"/>
    <w:rsid w:val="7B0DC487"/>
    <w:rsid w:val="7B8039A6"/>
    <w:rsid w:val="7BF8E45E"/>
    <w:rsid w:val="7C5E474C"/>
    <w:rsid w:val="7CC36913"/>
    <w:rsid w:val="7D8A3836"/>
    <w:rsid w:val="7E67A546"/>
    <w:rsid w:val="7ED5DA1B"/>
    <w:rsid w:val="7F51FF7B"/>
    <w:rsid w:val="7FC8C923"/>
    <w:rsid w:val="7FF6E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7755"/>
  <w15:chartTrackingRefBased/>
  <w15:docId w15:val="{05F00C45-A020-489A-907B-2ED63AC2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06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625"/>
  </w:style>
  <w:style w:type="paragraph" w:customStyle="1" w:styleId="Standard">
    <w:name w:val="Standard"/>
    <w:rsid w:val="00800625"/>
    <w:pPr>
      <w:suppressAutoHyphens/>
      <w:autoSpaceDN w:val="0"/>
      <w:spacing w:after="200" w:line="276" w:lineRule="auto"/>
      <w:textAlignment w:val="baseline"/>
    </w:pPr>
    <w:rPr>
      <w:rFonts w:ascii="Calibri" w:eastAsia="Calibri" w:hAnsi="Calibri" w:cs="Times New Roman"/>
      <w:kern w:val="3"/>
    </w:rPr>
  </w:style>
  <w:style w:type="paragraph" w:styleId="Textodenotaderodap">
    <w:name w:val="footnote text"/>
    <w:aliases w:val="ESC-Rodapé,ESC-Rodapé Char Char,Char, Char"/>
    <w:basedOn w:val="Standard"/>
    <w:link w:val="TextodenotaderodapChar"/>
    <w:rsid w:val="00800625"/>
    <w:pPr>
      <w:spacing w:after="0" w:line="240" w:lineRule="auto"/>
    </w:pPr>
    <w:rPr>
      <w:rFonts w:ascii="Times New Roman" w:eastAsia="Times New Roman" w:hAnsi="Times New Roman"/>
      <w:sz w:val="20"/>
      <w:szCs w:val="20"/>
      <w:lang w:val="en-US"/>
    </w:rPr>
  </w:style>
  <w:style w:type="character" w:customStyle="1" w:styleId="TextodenotaderodapChar">
    <w:name w:val="Texto de nota de rodapé Char"/>
    <w:aliases w:val="ESC-Rodapé Char,ESC-Rodapé Char Char Char,Char Char, Char Char"/>
    <w:basedOn w:val="Fontepargpadro"/>
    <w:link w:val="Textodenotaderodap"/>
    <w:rsid w:val="00800625"/>
    <w:rPr>
      <w:rFonts w:ascii="Times New Roman" w:eastAsia="Times New Roman" w:hAnsi="Times New Roman" w:cs="Times New Roman"/>
      <w:kern w:val="3"/>
      <w:sz w:val="20"/>
      <w:szCs w:val="20"/>
      <w:lang w:val="en-US"/>
    </w:rPr>
  </w:style>
  <w:style w:type="paragraph" w:styleId="NormalWeb">
    <w:name w:val="Normal (Web)"/>
    <w:basedOn w:val="Standard"/>
    <w:uiPriority w:val="99"/>
    <w:rsid w:val="00800625"/>
    <w:pPr>
      <w:spacing w:before="100" w:after="100" w:line="240" w:lineRule="auto"/>
    </w:pPr>
    <w:rPr>
      <w:rFonts w:ascii="Times New Roman" w:eastAsia="Times New Roman" w:hAnsi="Times New Roman"/>
      <w:sz w:val="24"/>
      <w:szCs w:val="24"/>
      <w:lang w:eastAsia="pt-BR"/>
    </w:rPr>
  </w:style>
  <w:style w:type="character" w:styleId="Refdenotaderodap">
    <w:name w:val="footnote reference"/>
    <w:rsid w:val="00800625"/>
    <w:rPr>
      <w:position w:val="0"/>
      <w:vertAlign w:val="superscript"/>
    </w:rPr>
  </w:style>
  <w:style w:type="table" w:styleId="Tabelacomgrade">
    <w:name w:val="Table Grid"/>
    <w:basedOn w:val="Tabelanormal"/>
    <w:uiPriority w:val="39"/>
    <w:rsid w:val="0080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800625"/>
    <w:pPr>
      <w:tabs>
        <w:tab w:val="center" w:pos="4252"/>
        <w:tab w:val="right" w:pos="8504"/>
      </w:tabs>
      <w:spacing w:after="0" w:line="240" w:lineRule="auto"/>
    </w:pPr>
  </w:style>
  <w:style w:type="character" w:customStyle="1" w:styleId="RodapChar">
    <w:name w:val="Rodapé Char"/>
    <w:basedOn w:val="Fontepargpadro"/>
    <w:link w:val="Rodap"/>
    <w:uiPriority w:val="99"/>
    <w:rsid w:val="00800625"/>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rsid w:val="00AB2576"/>
    <w:pPr>
      <w:spacing w:line="256" w:lineRule="auto"/>
      <w:ind w:left="720"/>
      <w:contextualSpacing/>
    </w:pPr>
  </w:style>
  <w:style w:type="character" w:customStyle="1" w:styleId="eop">
    <w:name w:val="eop"/>
    <w:basedOn w:val="Fontepargpadro"/>
    <w:rsid w:val="00AB2576"/>
  </w:style>
  <w:style w:type="paragraph" w:customStyle="1" w:styleId="paragraph">
    <w:name w:val="paragraph"/>
    <w:basedOn w:val="Normal"/>
    <w:rsid w:val="00AB257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932">
      <w:bodyDiv w:val="1"/>
      <w:marLeft w:val="0"/>
      <w:marRight w:val="0"/>
      <w:marTop w:val="0"/>
      <w:marBottom w:val="0"/>
      <w:divBdr>
        <w:top w:val="none" w:sz="0" w:space="0" w:color="auto"/>
        <w:left w:val="none" w:sz="0" w:space="0" w:color="auto"/>
        <w:bottom w:val="none" w:sz="0" w:space="0" w:color="auto"/>
        <w:right w:val="none" w:sz="0" w:space="0" w:color="auto"/>
      </w:divBdr>
    </w:div>
    <w:div w:id="165950258">
      <w:bodyDiv w:val="1"/>
      <w:marLeft w:val="0"/>
      <w:marRight w:val="0"/>
      <w:marTop w:val="0"/>
      <w:marBottom w:val="0"/>
      <w:divBdr>
        <w:top w:val="none" w:sz="0" w:space="0" w:color="auto"/>
        <w:left w:val="none" w:sz="0" w:space="0" w:color="auto"/>
        <w:bottom w:val="none" w:sz="0" w:space="0" w:color="auto"/>
        <w:right w:val="none" w:sz="0" w:space="0" w:color="auto"/>
      </w:divBdr>
    </w:div>
    <w:div w:id="261962129">
      <w:bodyDiv w:val="1"/>
      <w:marLeft w:val="0"/>
      <w:marRight w:val="0"/>
      <w:marTop w:val="0"/>
      <w:marBottom w:val="0"/>
      <w:divBdr>
        <w:top w:val="none" w:sz="0" w:space="0" w:color="auto"/>
        <w:left w:val="none" w:sz="0" w:space="0" w:color="auto"/>
        <w:bottom w:val="none" w:sz="0" w:space="0" w:color="auto"/>
        <w:right w:val="none" w:sz="0" w:space="0" w:color="auto"/>
      </w:divBdr>
    </w:div>
    <w:div w:id="399526716">
      <w:bodyDiv w:val="1"/>
      <w:marLeft w:val="0"/>
      <w:marRight w:val="0"/>
      <w:marTop w:val="0"/>
      <w:marBottom w:val="0"/>
      <w:divBdr>
        <w:top w:val="none" w:sz="0" w:space="0" w:color="auto"/>
        <w:left w:val="none" w:sz="0" w:space="0" w:color="auto"/>
        <w:bottom w:val="none" w:sz="0" w:space="0" w:color="auto"/>
        <w:right w:val="none" w:sz="0" w:space="0" w:color="auto"/>
      </w:divBdr>
    </w:div>
    <w:div w:id="418334973">
      <w:bodyDiv w:val="1"/>
      <w:marLeft w:val="0"/>
      <w:marRight w:val="0"/>
      <w:marTop w:val="0"/>
      <w:marBottom w:val="0"/>
      <w:divBdr>
        <w:top w:val="none" w:sz="0" w:space="0" w:color="auto"/>
        <w:left w:val="none" w:sz="0" w:space="0" w:color="auto"/>
        <w:bottom w:val="none" w:sz="0" w:space="0" w:color="auto"/>
        <w:right w:val="none" w:sz="0" w:space="0" w:color="auto"/>
      </w:divBdr>
    </w:div>
    <w:div w:id="505562464">
      <w:bodyDiv w:val="1"/>
      <w:marLeft w:val="0"/>
      <w:marRight w:val="0"/>
      <w:marTop w:val="0"/>
      <w:marBottom w:val="0"/>
      <w:divBdr>
        <w:top w:val="none" w:sz="0" w:space="0" w:color="auto"/>
        <w:left w:val="none" w:sz="0" w:space="0" w:color="auto"/>
        <w:bottom w:val="none" w:sz="0" w:space="0" w:color="auto"/>
        <w:right w:val="none" w:sz="0" w:space="0" w:color="auto"/>
      </w:divBdr>
    </w:div>
    <w:div w:id="593175682">
      <w:bodyDiv w:val="1"/>
      <w:marLeft w:val="0"/>
      <w:marRight w:val="0"/>
      <w:marTop w:val="0"/>
      <w:marBottom w:val="0"/>
      <w:divBdr>
        <w:top w:val="none" w:sz="0" w:space="0" w:color="auto"/>
        <w:left w:val="none" w:sz="0" w:space="0" w:color="auto"/>
        <w:bottom w:val="none" w:sz="0" w:space="0" w:color="auto"/>
        <w:right w:val="none" w:sz="0" w:space="0" w:color="auto"/>
      </w:divBdr>
    </w:div>
    <w:div w:id="650642708">
      <w:bodyDiv w:val="1"/>
      <w:marLeft w:val="0"/>
      <w:marRight w:val="0"/>
      <w:marTop w:val="0"/>
      <w:marBottom w:val="0"/>
      <w:divBdr>
        <w:top w:val="none" w:sz="0" w:space="0" w:color="auto"/>
        <w:left w:val="none" w:sz="0" w:space="0" w:color="auto"/>
        <w:bottom w:val="none" w:sz="0" w:space="0" w:color="auto"/>
        <w:right w:val="none" w:sz="0" w:space="0" w:color="auto"/>
      </w:divBdr>
    </w:div>
    <w:div w:id="834226579">
      <w:bodyDiv w:val="1"/>
      <w:marLeft w:val="0"/>
      <w:marRight w:val="0"/>
      <w:marTop w:val="0"/>
      <w:marBottom w:val="0"/>
      <w:divBdr>
        <w:top w:val="none" w:sz="0" w:space="0" w:color="auto"/>
        <w:left w:val="none" w:sz="0" w:space="0" w:color="auto"/>
        <w:bottom w:val="none" w:sz="0" w:space="0" w:color="auto"/>
        <w:right w:val="none" w:sz="0" w:space="0" w:color="auto"/>
      </w:divBdr>
    </w:div>
    <w:div w:id="977538376">
      <w:bodyDiv w:val="1"/>
      <w:marLeft w:val="0"/>
      <w:marRight w:val="0"/>
      <w:marTop w:val="0"/>
      <w:marBottom w:val="0"/>
      <w:divBdr>
        <w:top w:val="none" w:sz="0" w:space="0" w:color="auto"/>
        <w:left w:val="none" w:sz="0" w:space="0" w:color="auto"/>
        <w:bottom w:val="none" w:sz="0" w:space="0" w:color="auto"/>
        <w:right w:val="none" w:sz="0" w:space="0" w:color="auto"/>
      </w:divBdr>
    </w:div>
    <w:div w:id="1036352354">
      <w:bodyDiv w:val="1"/>
      <w:marLeft w:val="0"/>
      <w:marRight w:val="0"/>
      <w:marTop w:val="0"/>
      <w:marBottom w:val="0"/>
      <w:divBdr>
        <w:top w:val="none" w:sz="0" w:space="0" w:color="auto"/>
        <w:left w:val="none" w:sz="0" w:space="0" w:color="auto"/>
        <w:bottom w:val="none" w:sz="0" w:space="0" w:color="auto"/>
        <w:right w:val="none" w:sz="0" w:space="0" w:color="auto"/>
      </w:divBdr>
    </w:div>
    <w:div w:id="1314866937">
      <w:bodyDiv w:val="1"/>
      <w:marLeft w:val="0"/>
      <w:marRight w:val="0"/>
      <w:marTop w:val="0"/>
      <w:marBottom w:val="0"/>
      <w:divBdr>
        <w:top w:val="none" w:sz="0" w:space="0" w:color="auto"/>
        <w:left w:val="none" w:sz="0" w:space="0" w:color="auto"/>
        <w:bottom w:val="none" w:sz="0" w:space="0" w:color="auto"/>
        <w:right w:val="none" w:sz="0" w:space="0" w:color="auto"/>
      </w:divBdr>
    </w:div>
    <w:div w:id="1358654939">
      <w:bodyDiv w:val="1"/>
      <w:marLeft w:val="0"/>
      <w:marRight w:val="0"/>
      <w:marTop w:val="0"/>
      <w:marBottom w:val="0"/>
      <w:divBdr>
        <w:top w:val="none" w:sz="0" w:space="0" w:color="auto"/>
        <w:left w:val="none" w:sz="0" w:space="0" w:color="auto"/>
        <w:bottom w:val="none" w:sz="0" w:space="0" w:color="auto"/>
        <w:right w:val="none" w:sz="0" w:space="0" w:color="auto"/>
      </w:divBdr>
    </w:div>
    <w:div w:id="1373114154">
      <w:bodyDiv w:val="1"/>
      <w:marLeft w:val="0"/>
      <w:marRight w:val="0"/>
      <w:marTop w:val="0"/>
      <w:marBottom w:val="0"/>
      <w:divBdr>
        <w:top w:val="none" w:sz="0" w:space="0" w:color="auto"/>
        <w:left w:val="none" w:sz="0" w:space="0" w:color="auto"/>
        <w:bottom w:val="none" w:sz="0" w:space="0" w:color="auto"/>
        <w:right w:val="none" w:sz="0" w:space="0" w:color="auto"/>
      </w:divBdr>
    </w:div>
    <w:div w:id="1478569102">
      <w:bodyDiv w:val="1"/>
      <w:marLeft w:val="0"/>
      <w:marRight w:val="0"/>
      <w:marTop w:val="0"/>
      <w:marBottom w:val="0"/>
      <w:divBdr>
        <w:top w:val="none" w:sz="0" w:space="0" w:color="auto"/>
        <w:left w:val="none" w:sz="0" w:space="0" w:color="auto"/>
        <w:bottom w:val="none" w:sz="0" w:space="0" w:color="auto"/>
        <w:right w:val="none" w:sz="0" w:space="0" w:color="auto"/>
      </w:divBdr>
    </w:div>
    <w:div w:id="1486507378">
      <w:bodyDiv w:val="1"/>
      <w:marLeft w:val="0"/>
      <w:marRight w:val="0"/>
      <w:marTop w:val="0"/>
      <w:marBottom w:val="0"/>
      <w:divBdr>
        <w:top w:val="none" w:sz="0" w:space="0" w:color="auto"/>
        <w:left w:val="none" w:sz="0" w:space="0" w:color="auto"/>
        <w:bottom w:val="none" w:sz="0" w:space="0" w:color="auto"/>
        <w:right w:val="none" w:sz="0" w:space="0" w:color="auto"/>
      </w:divBdr>
    </w:div>
    <w:div w:id="1550607208">
      <w:bodyDiv w:val="1"/>
      <w:marLeft w:val="0"/>
      <w:marRight w:val="0"/>
      <w:marTop w:val="0"/>
      <w:marBottom w:val="0"/>
      <w:divBdr>
        <w:top w:val="none" w:sz="0" w:space="0" w:color="auto"/>
        <w:left w:val="none" w:sz="0" w:space="0" w:color="auto"/>
        <w:bottom w:val="none" w:sz="0" w:space="0" w:color="auto"/>
        <w:right w:val="none" w:sz="0" w:space="0" w:color="auto"/>
      </w:divBdr>
    </w:div>
    <w:div w:id="1842620772">
      <w:bodyDiv w:val="1"/>
      <w:marLeft w:val="0"/>
      <w:marRight w:val="0"/>
      <w:marTop w:val="0"/>
      <w:marBottom w:val="0"/>
      <w:divBdr>
        <w:top w:val="none" w:sz="0" w:space="0" w:color="auto"/>
        <w:left w:val="none" w:sz="0" w:space="0" w:color="auto"/>
        <w:bottom w:val="none" w:sz="0" w:space="0" w:color="auto"/>
        <w:right w:val="none" w:sz="0" w:space="0" w:color="auto"/>
      </w:divBdr>
    </w:div>
    <w:div w:id="1877615912">
      <w:bodyDiv w:val="1"/>
      <w:marLeft w:val="0"/>
      <w:marRight w:val="0"/>
      <w:marTop w:val="0"/>
      <w:marBottom w:val="0"/>
      <w:divBdr>
        <w:top w:val="none" w:sz="0" w:space="0" w:color="auto"/>
        <w:left w:val="none" w:sz="0" w:space="0" w:color="auto"/>
        <w:bottom w:val="none" w:sz="0" w:space="0" w:color="auto"/>
        <w:right w:val="none" w:sz="0" w:space="0" w:color="auto"/>
      </w:divBdr>
    </w:div>
    <w:div w:id="2011518116">
      <w:bodyDiv w:val="1"/>
      <w:marLeft w:val="0"/>
      <w:marRight w:val="0"/>
      <w:marTop w:val="0"/>
      <w:marBottom w:val="0"/>
      <w:divBdr>
        <w:top w:val="none" w:sz="0" w:space="0" w:color="auto"/>
        <w:left w:val="none" w:sz="0" w:space="0" w:color="auto"/>
        <w:bottom w:val="none" w:sz="0" w:space="0" w:color="auto"/>
        <w:right w:val="none" w:sz="0" w:space="0" w:color="auto"/>
      </w:divBdr>
    </w:div>
    <w:div w:id="20726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esquisa.apps.tcu.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dade xmlns="381ee611-f51f-4a36-8d42-e44f8919228b">32</Entidade>
    <Destinatario xmlns="381ee611-f51f-4a36-8d42-e44f8919228b">8</Destinatario>
    <AssuntodoDocumento xmlns="381ee611-f51f-4a36-8d42-e44f8919228b">18</AssuntodoDocumento>
    <TipodoDocumento xmlns="381ee611-f51f-4a36-8d42-e44f8919228b">75</TipodoDocumento>
    <Revisor xmlns="437440f7-81de-43ff-9b97-055bdea26530">
      <UserInfo>
        <DisplayName>Pedro Rodrigues</DisplayName>
        <AccountId>52</AccountId>
        <AccountType/>
      </UserInfo>
    </Revisor>
    <Entregador xmlns="437440f7-81de-43ff-9b97-055bdea26530">
      <UserInfo>
        <DisplayName>Pedro Rodrigues</DisplayName>
        <AccountId>52</AccountId>
        <AccountType/>
      </UserInfo>
    </Entregador>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D03B0FE8D7404F86C1BE3815694FFC" ma:contentTypeVersion="13" ma:contentTypeDescription="Crie um novo documento." ma:contentTypeScope="" ma:versionID="463e988bf0e06fba2810138e39a6e15a">
  <xsd:schema xmlns:xsd="http://www.w3.org/2001/XMLSchema" xmlns:xs="http://www.w3.org/2001/XMLSchema" xmlns:p="http://schemas.microsoft.com/office/2006/metadata/properties" xmlns:ns2="437440f7-81de-43ff-9b97-055bdea26530" xmlns:ns3="381ee611-f51f-4a36-8d42-e44f8919228b" targetNamespace="http://schemas.microsoft.com/office/2006/metadata/properties" ma:root="true" ma:fieldsID="f7c0d208a803fd7a607b1ce602f57284" ns2:_="" ns3:_="">
    <xsd:import namespace="437440f7-81de-43ff-9b97-055bdea26530"/>
    <xsd:import namespace="381ee611-f51f-4a36-8d42-e44f8919228b"/>
    <xsd:element name="properties">
      <xsd:complexType>
        <xsd:sequence>
          <xsd:element name="documentManagement">
            <xsd:complexType>
              <xsd:all>
                <xsd:element ref="ns2:Revisor" minOccurs="0"/>
                <xsd:element ref="ns2:Entregador" minOccurs="0"/>
                <xsd:element ref="ns3:AssuntodoDocumento" minOccurs="0"/>
                <xsd:element ref="ns3:Destinatario" minOccurs="0"/>
                <xsd:element ref="ns3:Entidade" minOccurs="0"/>
                <xsd:element ref="ns3:TipodoDocumento" minOccurs="0"/>
                <xsd:element ref="ns3:SharedWithUsers" minOccurs="0"/>
                <xsd:element ref="ns3:SharingHintHash" minOccurs="0"/>
                <xsd:element ref="ns3:SharedWithDetails"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40f7-81de-43ff-9b97-055bdea26530" elementFormDefault="qualified">
    <xsd:import namespace="http://schemas.microsoft.com/office/2006/documentManagement/types"/>
    <xsd:import namespace="http://schemas.microsoft.com/office/infopath/2007/PartnerControls"/>
    <xsd:element name="Revisor" ma:index="8" nillable="true" ma:displayName="Revisor" ma:list="UserInfo" ma:SharePointGroup="0" ma:internalName="Re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tregador" ma:index="9" nillable="true" ma:displayName="Entregador" ma:list="UserInfo" ma:SharePointGroup="0" ma:internalName="Entregad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10" nillable="true" ma:displayName="Assunto do Documento" ma:description="Selecione o assunto de direito material do documento em desenvolvimento." ma:list="{43833cd5-331d-4000-8693-6473ec3c6426}" ma:internalName="AssuntodoDocumento" ma:showField="Rotulo" ma:web="381ee611-f51f-4a36-8d42-e44f8919228b">
      <xsd:simpleType>
        <xsd:restriction base="dms:Lookup"/>
      </xsd:simpleType>
    </xsd:element>
    <xsd:element name="Destinatario" ma:index="11" nillable="true" ma:displayName="Destinatário" ma:description="Selecione o destinatário do documento" ma:list="{6ad91ecd-9915-4046-a122-8a16adf60bae}" ma:internalName="Destinatario" ma:showField="Concatenado" ma:web="381ee611-f51f-4a36-8d42-e44f8919228b">
      <xsd:simpleType>
        <xsd:restriction base="dms:Lookup"/>
      </xsd:simpleType>
    </xsd:element>
    <xsd:element name="Entidade" ma:index="12" nillable="true" ma:displayName="Entidade" ma:list="{0530ef28-ea81-4d35-a44a-724592257bf6}" ma:internalName="Entidade" ma:showField="Title" ma:web="381ee611-f51f-4a36-8d42-e44f8919228b">
      <xsd:simpleType>
        <xsd:restriction base="dms:Lookup"/>
      </xsd:simpleType>
    </xsd:element>
    <xsd:element name="TipodoDocumento" ma:index="13" nillable="true" ma:displayName="Tipo do Documento" ma:list="{f834045d-1b98-4af9-a18e-d11c11bceac1}" ma:internalName="TipodoDocumento" ma:showField="Title" ma:web="381ee611-f51f-4a36-8d42-e44f8919228b">
      <xsd:simpleType>
        <xsd:restriction base="dms:Lookup"/>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de Dica de Compartilhamento" ma:internalName="SharingHintHash" ma:readOnly="true">
      <xsd:simpleType>
        <xsd:restriction base="dms:Text"/>
      </xsd:simple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31C2-94C1-4E87-8DCD-D6D801EBCCA0}">
  <ds:schemaRefs>
    <ds:schemaRef ds:uri="http://schemas.microsoft.com/sharepoint/v3/contenttype/forms"/>
  </ds:schemaRefs>
</ds:datastoreItem>
</file>

<file path=customXml/itemProps2.xml><?xml version="1.0" encoding="utf-8"?>
<ds:datastoreItem xmlns:ds="http://schemas.openxmlformats.org/officeDocument/2006/customXml" ds:itemID="{293B62B8-3F10-41EC-AE07-39FF81F5A0BF}">
  <ds:schemaRefs>
    <ds:schemaRef ds:uri="http://schemas.microsoft.com/office/2006/metadata/properties"/>
    <ds:schemaRef ds:uri="http://schemas.microsoft.com/office/infopath/2007/PartnerControls"/>
    <ds:schemaRef ds:uri="381ee611-f51f-4a36-8d42-e44f8919228b"/>
    <ds:schemaRef ds:uri="437440f7-81de-43ff-9b97-055bdea26530"/>
  </ds:schemaRefs>
</ds:datastoreItem>
</file>

<file path=customXml/itemProps3.xml><?xml version="1.0" encoding="utf-8"?>
<ds:datastoreItem xmlns:ds="http://schemas.openxmlformats.org/officeDocument/2006/customXml" ds:itemID="{1B26B584-A8E8-4DBF-BD8B-1967BB92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40f7-81de-43ff-9b97-055bdea26530"/>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C8AEB-7283-42D7-ACFC-027C4F72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38</Pages>
  <Words>15207</Words>
  <Characters>82120</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RecAdm_Ferias-Gozo_Carolina Nogueira Lannes(25-09-2020)</vt:lpstr>
    </vt:vector>
  </TitlesOfParts>
  <Company/>
  <LinksUpToDate>false</LinksUpToDate>
  <CharactersWithSpaces>97133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RecAdm_Ferias-Gozo_Carolina Nogueira Lannes(25-09-2020)</dc:title>
  <dc:subject/>
  <dc:creator>Sabrina Kamphorst</dc:creator>
  <cp:keywords/>
  <dc:description/>
  <cp:lastModifiedBy>Letícia Kaufmann</cp:lastModifiedBy>
  <cp:revision>2</cp:revision>
  <cp:lastPrinted>2019-05-22T17:03:00Z</cp:lastPrinted>
  <dcterms:created xsi:type="dcterms:W3CDTF">2019-05-06T15:39:00Z</dcterms:created>
  <dcterms:modified xsi:type="dcterms:W3CDTF">2020-11-24T18:14:00Z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0x010100F8D03B0FE8D7404F86C1BE3815694FFC</vt:lpwstr>
  </property>
  <property fmtid="{D5CDD505-2E9C-101B-9397-08002B2CF9AE}" pid="3" name="TaxKeyword">
    <vt:lpwstr/>
  </property>
</Properties>
</file>