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A3" w:rsidRDefault="008F6CA3" w:rsidP="00696F57">
      <w:pPr>
        <w:spacing w:line="240" w:lineRule="auto"/>
        <w:jc w:val="both"/>
        <w:rPr>
          <w:rFonts w:ascii="Times New Roman" w:hAnsi="Times New Roman" w:cs="Times New Roman"/>
          <w:sz w:val="26"/>
          <w:szCs w:val="26"/>
        </w:rPr>
      </w:pPr>
      <w:r>
        <w:rPr>
          <w:rFonts w:ascii="Times New Roman" w:hAnsi="Times New Roman" w:cs="Times New Roman"/>
          <w:sz w:val="26"/>
          <w:szCs w:val="26"/>
        </w:rPr>
        <w:t>Excelentíssimo Senhor Presidente</w:t>
      </w:r>
    </w:p>
    <w:p w:rsidR="008F6CA3" w:rsidRDefault="008F6CA3" w:rsidP="00696F57">
      <w:pPr>
        <w:spacing w:line="240" w:lineRule="auto"/>
        <w:jc w:val="both"/>
        <w:rPr>
          <w:rFonts w:ascii="Times New Roman" w:hAnsi="Times New Roman" w:cs="Times New Roman"/>
          <w:sz w:val="26"/>
          <w:szCs w:val="26"/>
        </w:rPr>
      </w:pPr>
      <w:r>
        <w:rPr>
          <w:rFonts w:ascii="Times New Roman" w:hAnsi="Times New Roman" w:cs="Times New Roman"/>
          <w:sz w:val="26"/>
          <w:szCs w:val="26"/>
        </w:rPr>
        <w:t>Desembargador JOSÉ MURILO DE MORAIS</w:t>
      </w:r>
    </w:p>
    <w:p w:rsidR="008F6CA3" w:rsidRDefault="008F6CA3" w:rsidP="00696F57">
      <w:pPr>
        <w:spacing w:line="240" w:lineRule="auto"/>
        <w:jc w:val="both"/>
        <w:rPr>
          <w:rFonts w:ascii="Times New Roman" w:hAnsi="Times New Roman" w:cs="Times New Roman"/>
          <w:b/>
          <w:smallCaps/>
          <w:sz w:val="26"/>
          <w:szCs w:val="26"/>
        </w:rPr>
      </w:pPr>
      <w:r>
        <w:rPr>
          <w:rFonts w:ascii="Times New Roman" w:hAnsi="Times New Roman" w:cs="Times New Roman"/>
          <w:b/>
          <w:sz w:val="26"/>
          <w:szCs w:val="26"/>
        </w:rPr>
        <w:t>Tribunal Regional do Trabalho da 3ª Região</w:t>
      </w:r>
    </w:p>
    <w:p w:rsidR="008F6CA3" w:rsidRDefault="008F6CA3" w:rsidP="00696F57">
      <w:pPr>
        <w:spacing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Belo Horizonte – MG</w:t>
      </w:r>
    </w:p>
    <w:p w:rsidR="008F6CA3" w:rsidRDefault="008F6CA3" w:rsidP="00696F57">
      <w:pPr>
        <w:spacing w:line="240" w:lineRule="auto"/>
        <w:jc w:val="both"/>
        <w:rPr>
          <w:rFonts w:ascii="Times New Roman" w:hAnsi="Times New Roman" w:cs="Times New Roman"/>
          <w:sz w:val="26"/>
          <w:szCs w:val="26"/>
        </w:rPr>
      </w:pPr>
    </w:p>
    <w:p w:rsidR="008F6CA3" w:rsidRDefault="008F6CA3" w:rsidP="00696F57">
      <w:pPr>
        <w:widowControl w:val="0"/>
        <w:spacing w:line="240" w:lineRule="auto"/>
        <w:ind w:left="1701"/>
        <w:jc w:val="both"/>
        <w:rPr>
          <w:rFonts w:ascii="Times New Roman" w:hAnsi="Times New Roman" w:cs="Times New Roman"/>
          <w:sz w:val="26"/>
          <w:szCs w:val="26"/>
        </w:rPr>
      </w:pPr>
    </w:p>
    <w:p w:rsidR="008F6CA3" w:rsidRDefault="008F6CA3" w:rsidP="00696F57">
      <w:pPr>
        <w:widowControl w:val="0"/>
        <w:spacing w:line="240" w:lineRule="auto"/>
        <w:ind w:left="1701"/>
        <w:jc w:val="both"/>
        <w:rPr>
          <w:rFonts w:ascii="Times New Roman" w:hAnsi="Times New Roman" w:cs="Times New Roman"/>
          <w:sz w:val="26"/>
          <w:szCs w:val="26"/>
        </w:rPr>
      </w:pPr>
    </w:p>
    <w:p w:rsidR="008F6CA3" w:rsidRDefault="008F6CA3" w:rsidP="00696F57">
      <w:pPr>
        <w:widowControl w:val="0"/>
        <w:spacing w:line="240" w:lineRule="auto"/>
        <w:ind w:left="1701"/>
        <w:jc w:val="both"/>
        <w:rPr>
          <w:rFonts w:ascii="Times New Roman" w:hAnsi="Times New Roman" w:cs="Times New Roman"/>
          <w:sz w:val="26"/>
          <w:szCs w:val="26"/>
        </w:rPr>
      </w:pPr>
    </w:p>
    <w:p w:rsidR="008F6CA3" w:rsidRDefault="008F6CA3" w:rsidP="00696F57">
      <w:pPr>
        <w:widowControl w:val="0"/>
        <w:tabs>
          <w:tab w:val="left" w:pos="7438"/>
        </w:tabs>
        <w:spacing w:line="240" w:lineRule="auto"/>
        <w:ind w:firstLine="1701"/>
        <w:jc w:val="both"/>
        <w:rPr>
          <w:rFonts w:ascii="Times New Roman" w:hAnsi="Times New Roman" w:cs="Times New Roman"/>
          <w:b/>
          <w:sz w:val="26"/>
          <w:szCs w:val="26"/>
          <w:highlight w:val="yellow"/>
        </w:rPr>
      </w:pPr>
      <w:r>
        <w:rPr>
          <w:rFonts w:ascii="Times New Roman" w:hAnsi="Times New Roman" w:cs="Times New Roman"/>
          <w:b/>
          <w:sz w:val="26"/>
          <w:szCs w:val="26"/>
        </w:rPr>
        <w:t>TRT e-PAD nº 25000/2019</w:t>
      </w:r>
    </w:p>
    <w:p w:rsidR="008F6CA3" w:rsidRDefault="008F6CA3" w:rsidP="00696F57">
      <w:pPr>
        <w:widowControl w:val="0"/>
        <w:spacing w:line="240" w:lineRule="auto"/>
        <w:ind w:left="1701"/>
        <w:jc w:val="both"/>
        <w:rPr>
          <w:rFonts w:ascii="Times New Roman" w:hAnsi="Times New Roman" w:cs="Times New Roman"/>
          <w:highlight w:val="yellow"/>
        </w:rPr>
      </w:pPr>
    </w:p>
    <w:p w:rsidR="008F6CA3" w:rsidRDefault="008F6CA3" w:rsidP="00696F57">
      <w:pPr>
        <w:widowControl w:val="0"/>
        <w:spacing w:line="240" w:lineRule="auto"/>
        <w:ind w:left="1701"/>
        <w:jc w:val="both"/>
        <w:rPr>
          <w:rFonts w:ascii="Times New Roman" w:hAnsi="Times New Roman" w:cs="Times New Roman"/>
          <w:sz w:val="26"/>
          <w:szCs w:val="26"/>
          <w:lang w:eastAsia="ar-SA"/>
        </w:rPr>
      </w:pPr>
      <w:r>
        <w:rPr>
          <w:rFonts w:ascii="Times New Roman" w:hAnsi="Times New Roman" w:cs="Times New Roman"/>
          <w:sz w:val="26"/>
          <w:szCs w:val="26"/>
        </w:rPr>
        <w:t>Ementa: Constitucional e Administrativo. Oficial de Justiça Avaliador Federal. Gratificação de Atividade Externa. Vantagem Pessoal Nominalmente Identificada, oriunda da incorporação dos quintos. Possibilidade de cumulação. Verbas de natureza distintas. Princípio da Legalidade. Violação à segurança jurídica. Vedação à aplicação retroativa de nova interpretação. Direito adquirido à cumulação. Decadência administrativa. Parcela compensatória.</w:t>
      </w:r>
    </w:p>
    <w:p w:rsidR="008F6CA3" w:rsidRDefault="008F6CA3" w:rsidP="00696F57">
      <w:pPr>
        <w:widowControl w:val="0"/>
        <w:tabs>
          <w:tab w:val="left" w:pos="2268"/>
        </w:tabs>
        <w:spacing w:line="240" w:lineRule="auto"/>
        <w:ind w:left="1701"/>
        <w:jc w:val="both"/>
        <w:rPr>
          <w:rFonts w:ascii="Times New Roman" w:hAnsi="Times New Roman" w:cs="Times New Roman"/>
          <w:sz w:val="26"/>
          <w:szCs w:val="26"/>
          <w:highlight w:val="white"/>
        </w:rPr>
      </w:pPr>
    </w:p>
    <w:p w:rsidR="008F6CA3" w:rsidRDefault="008F6CA3" w:rsidP="00696F57">
      <w:pPr>
        <w:widowControl w:val="0"/>
        <w:tabs>
          <w:tab w:val="left" w:pos="2268"/>
        </w:tabs>
        <w:spacing w:line="240" w:lineRule="auto"/>
        <w:ind w:left="1701"/>
        <w:jc w:val="both"/>
        <w:rPr>
          <w:rFonts w:ascii="Times New Roman" w:hAnsi="Times New Roman" w:cs="Times New Roman"/>
          <w:sz w:val="26"/>
          <w:szCs w:val="26"/>
          <w:highlight w:val="white"/>
        </w:rPr>
      </w:pP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highlight w:val="white"/>
        </w:rPr>
      </w:pPr>
      <w:r w:rsidRPr="003944CC">
        <w:rPr>
          <w:rFonts w:ascii="Times New Roman" w:hAnsi="Times New Roman" w:cs="Times New Roman"/>
          <w:b/>
          <w:sz w:val="26"/>
          <w:szCs w:val="26"/>
          <w:highlight w:val="yellow"/>
        </w:rPr>
        <w:t>NOME</w:t>
      </w:r>
      <w:r>
        <w:rPr>
          <w:rFonts w:ascii="Times New Roman" w:hAnsi="Times New Roman" w:cs="Times New Roman"/>
          <w:sz w:val="26"/>
          <w:szCs w:val="26"/>
          <w:highlight w:val="white"/>
        </w:rPr>
        <w:t>, [</w:t>
      </w:r>
      <w:r w:rsidRPr="003944CC">
        <w:rPr>
          <w:rFonts w:ascii="Times New Roman" w:hAnsi="Times New Roman" w:cs="Times New Roman"/>
          <w:sz w:val="26"/>
          <w:szCs w:val="26"/>
          <w:highlight w:val="yellow"/>
        </w:rPr>
        <w:t>qualificação</w:t>
      </w:r>
      <w:r>
        <w:rPr>
          <w:rFonts w:ascii="Times New Roman" w:hAnsi="Times New Roman" w:cs="Times New Roman"/>
          <w:sz w:val="26"/>
          <w:szCs w:val="26"/>
          <w:highlight w:val="white"/>
        </w:rPr>
        <w:t>], em face de decisão proferida, com suporte no inciso I do artigo 107, da Lei 8.112/90, tempestivamente, interpõe</w:t>
      </w:r>
      <w:r>
        <w:rPr>
          <w:rFonts w:ascii="Times New Roman" w:hAnsi="Times New Roman" w:cs="Times New Roman"/>
          <w:sz w:val="26"/>
          <w:szCs w:val="26"/>
        </w:rPr>
        <w:t xml:space="preserve"> </w:t>
      </w:r>
      <w:r>
        <w:rPr>
          <w:rFonts w:ascii="Times New Roman" w:hAnsi="Times New Roman" w:cs="Times New Roman"/>
          <w:b/>
          <w:sz w:val="26"/>
          <w:szCs w:val="26"/>
          <w:u w:val="single"/>
        </w:rPr>
        <w:t>RECURSO ADMINISTRATIVO</w:t>
      </w:r>
      <w:r>
        <w:rPr>
          <w:rFonts w:ascii="Times New Roman" w:hAnsi="Times New Roman" w:cs="Times New Roman"/>
          <w:sz w:val="26"/>
          <w:szCs w:val="26"/>
        </w:rPr>
        <w:t>, requerendo, caso antes não haja JUÍZO DE RECONSIDERAÇÃO, a remessa do feito à autoridade competente, para que reforme a decisão recorrida, nos termos das razões inclusas.</w:t>
      </w:r>
    </w:p>
    <w:p w:rsidR="008F6CA3" w:rsidRDefault="008F6CA3" w:rsidP="00696F57">
      <w:pPr>
        <w:widowControl w:val="0"/>
        <w:tabs>
          <w:tab w:val="left" w:pos="2268"/>
        </w:tabs>
        <w:spacing w:line="240" w:lineRule="auto"/>
        <w:ind w:left="1701"/>
        <w:jc w:val="both"/>
        <w:rPr>
          <w:rFonts w:ascii="Times New Roman" w:hAnsi="Times New Roman" w:cs="Times New Roman"/>
          <w:sz w:val="26"/>
          <w:szCs w:val="26"/>
        </w:rPr>
      </w:pP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highlight w:val="yellow"/>
        </w:rPr>
        <w:t>Cidade</w:t>
      </w:r>
      <w:r>
        <w:rPr>
          <w:rFonts w:ascii="Times New Roman" w:hAnsi="Times New Roman" w:cs="Times New Roman"/>
          <w:sz w:val="26"/>
          <w:szCs w:val="26"/>
        </w:rPr>
        <w:t xml:space="preserve">, </w:t>
      </w:r>
      <w:r>
        <w:rPr>
          <w:rFonts w:ascii="Times New Roman" w:hAnsi="Times New Roman" w:cs="Times New Roman"/>
          <w:sz w:val="26"/>
          <w:szCs w:val="26"/>
          <w:highlight w:val="yellow"/>
        </w:rPr>
        <w:t>[data]</w:t>
      </w:r>
      <w:r>
        <w:rPr>
          <w:rFonts w:ascii="Times New Roman" w:hAnsi="Times New Roman" w:cs="Times New Roman"/>
          <w:sz w:val="26"/>
          <w:szCs w:val="26"/>
        </w:rPr>
        <w:t xml:space="preserve"> de 2020.</w:t>
      </w: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p>
    <w:p w:rsidR="008F6CA3" w:rsidRDefault="008F6CA3" w:rsidP="00696F57">
      <w:pPr>
        <w:widowControl w:val="0"/>
        <w:tabs>
          <w:tab w:val="left" w:pos="2268"/>
        </w:tabs>
        <w:spacing w:line="240" w:lineRule="auto"/>
        <w:ind w:firstLine="1701"/>
        <w:jc w:val="both"/>
        <w:rPr>
          <w:rFonts w:ascii="Times New Roman" w:hAnsi="Times New Roman" w:cs="Times New Roman"/>
          <w:b/>
          <w:sz w:val="26"/>
          <w:szCs w:val="26"/>
          <w:highlight w:val="yellow"/>
        </w:rPr>
      </w:pPr>
      <w:bookmarkStart w:id="0" w:name="_gjdgxs"/>
      <w:bookmarkEnd w:id="0"/>
      <w:r>
        <w:rPr>
          <w:rFonts w:ascii="Times New Roman" w:hAnsi="Times New Roman" w:cs="Times New Roman"/>
          <w:b/>
          <w:sz w:val="26"/>
          <w:szCs w:val="26"/>
          <w:highlight w:val="yellow"/>
        </w:rPr>
        <w:t>Nome do servidor</w:t>
      </w: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highlight w:val="yellow"/>
        </w:rPr>
      </w:pPr>
      <w:bookmarkStart w:id="1" w:name="_fb5oiv9t26y2"/>
      <w:bookmarkEnd w:id="1"/>
      <w:r>
        <w:rPr>
          <w:rFonts w:ascii="Times New Roman" w:hAnsi="Times New Roman" w:cs="Times New Roman"/>
          <w:sz w:val="26"/>
          <w:szCs w:val="26"/>
          <w:highlight w:val="yellow"/>
        </w:rPr>
        <w:t>Matrícula</w:t>
      </w: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highlight w:val="yellow"/>
        </w:rPr>
      </w:pPr>
      <w:r>
        <w:br w:type="page"/>
      </w:r>
      <w:bookmarkStart w:id="2" w:name="_2fjq7ypexmuu"/>
      <w:bookmarkEnd w:id="2"/>
    </w:p>
    <w:p w:rsidR="008F6CA3" w:rsidRDefault="008F6CA3" w:rsidP="11D73D47">
      <w:pPr>
        <w:spacing w:line="240" w:lineRule="auto"/>
        <w:jc w:val="both"/>
        <w:rPr>
          <w:rFonts w:ascii="Times New Roman" w:hAnsi="Times New Roman" w:cs="Times New Roman"/>
          <w:color w:val="000000"/>
          <w:sz w:val="26"/>
          <w:szCs w:val="26"/>
        </w:rPr>
      </w:pPr>
      <w:r w:rsidRPr="11D73D47">
        <w:rPr>
          <w:rFonts w:ascii="Times New Roman" w:hAnsi="Times New Roman" w:cs="Times New Roman"/>
          <w:color w:val="000000"/>
          <w:sz w:val="26"/>
          <w:szCs w:val="26"/>
        </w:rPr>
        <w:t>Excelentíssimos Senhores Desembargadores</w:t>
      </w:r>
    </w:p>
    <w:p w:rsidR="008F6CA3" w:rsidRDefault="008F6CA3" w:rsidP="11D73D47">
      <w:pPr>
        <w:spacing w:line="240" w:lineRule="auto"/>
        <w:jc w:val="both"/>
        <w:rPr>
          <w:rFonts w:ascii="Times New Roman" w:hAnsi="Times New Roman" w:cs="Times New Roman"/>
          <w:color w:val="000000"/>
          <w:sz w:val="26"/>
          <w:szCs w:val="26"/>
        </w:rPr>
      </w:pPr>
      <w:r w:rsidRPr="11D73D47">
        <w:rPr>
          <w:rFonts w:ascii="Times New Roman" w:hAnsi="Times New Roman" w:cs="Times New Roman"/>
          <w:color w:val="000000"/>
          <w:sz w:val="26"/>
          <w:szCs w:val="26"/>
        </w:rPr>
        <w:t>Órgão Especial</w:t>
      </w:r>
    </w:p>
    <w:p w:rsidR="008F6CA3" w:rsidRDefault="008F6CA3" w:rsidP="11D73D47">
      <w:pPr>
        <w:spacing w:line="240" w:lineRule="auto"/>
        <w:jc w:val="both"/>
        <w:rPr>
          <w:rFonts w:ascii="Times New Roman" w:hAnsi="Times New Roman" w:cs="Times New Roman"/>
          <w:color w:val="000000"/>
          <w:sz w:val="26"/>
          <w:szCs w:val="26"/>
        </w:rPr>
      </w:pPr>
      <w:r w:rsidRPr="11D73D47">
        <w:rPr>
          <w:rFonts w:ascii="Times New Roman" w:hAnsi="Times New Roman" w:cs="Times New Roman"/>
          <w:b/>
          <w:bCs/>
          <w:color w:val="000000"/>
          <w:sz w:val="26"/>
          <w:szCs w:val="26"/>
        </w:rPr>
        <w:t>Tribunal Regional do Trabalho da 3ª Região</w:t>
      </w:r>
    </w:p>
    <w:p w:rsidR="008F6CA3" w:rsidRDefault="008F6CA3" w:rsidP="11D73D47">
      <w:pPr>
        <w:spacing w:line="240" w:lineRule="auto"/>
        <w:jc w:val="both"/>
        <w:rPr>
          <w:rFonts w:ascii="Times New Roman" w:hAnsi="Times New Roman" w:cs="Times New Roman"/>
          <w:color w:val="000000"/>
          <w:sz w:val="26"/>
          <w:szCs w:val="26"/>
        </w:rPr>
      </w:pPr>
      <w:r w:rsidRPr="11D73D47">
        <w:rPr>
          <w:rFonts w:ascii="Times New Roman" w:hAnsi="Times New Roman" w:cs="Times New Roman"/>
          <w:color w:val="000000"/>
          <w:sz w:val="26"/>
          <w:szCs w:val="26"/>
          <w:u w:val="single"/>
        </w:rPr>
        <w:t>Belo Horizonte - MG</w:t>
      </w:r>
    </w:p>
    <w:p w:rsidR="008F6CA3" w:rsidRDefault="008F6CA3" w:rsidP="11D73D47">
      <w:pPr>
        <w:spacing w:line="240" w:lineRule="auto"/>
        <w:jc w:val="both"/>
        <w:rPr>
          <w:rFonts w:ascii="Times New Roman" w:hAnsi="Times New Roman" w:cs="Times New Roman"/>
          <w:sz w:val="26"/>
          <w:szCs w:val="26"/>
          <w:highlight w:val="yellow"/>
        </w:rPr>
      </w:pPr>
    </w:p>
    <w:p w:rsidR="008F6CA3" w:rsidRDefault="008F6CA3" w:rsidP="00696F57">
      <w:pPr>
        <w:spacing w:line="240" w:lineRule="auto"/>
        <w:ind w:left="1701"/>
        <w:jc w:val="both"/>
        <w:rPr>
          <w:rFonts w:ascii="Times New Roman" w:hAnsi="Times New Roman" w:cs="Times New Roman"/>
          <w:sz w:val="26"/>
          <w:szCs w:val="26"/>
          <w:highlight w:val="yellow"/>
        </w:rPr>
      </w:pPr>
    </w:p>
    <w:p w:rsidR="008F6CA3" w:rsidRDefault="008F6CA3" w:rsidP="00696F57">
      <w:pPr>
        <w:spacing w:line="240" w:lineRule="auto"/>
        <w:ind w:left="1701"/>
        <w:jc w:val="both"/>
        <w:rPr>
          <w:rFonts w:ascii="Times New Roman" w:hAnsi="Times New Roman" w:cs="Times New Roman"/>
          <w:sz w:val="26"/>
          <w:szCs w:val="26"/>
          <w:highlight w:val="yellow"/>
        </w:rPr>
      </w:pPr>
    </w:p>
    <w:p w:rsidR="008F6CA3" w:rsidRDefault="008F6CA3" w:rsidP="00696F57">
      <w:pPr>
        <w:widowControl w:val="0"/>
        <w:tabs>
          <w:tab w:val="left" w:pos="7438"/>
        </w:tabs>
        <w:spacing w:line="240" w:lineRule="auto"/>
        <w:ind w:firstLine="1701"/>
        <w:jc w:val="both"/>
        <w:rPr>
          <w:rFonts w:ascii="Times New Roman" w:hAnsi="Times New Roman" w:cs="Times New Roman"/>
          <w:b/>
          <w:sz w:val="26"/>
          <w:szCs w:val="26"/>
          <w:highlight w:val="yellow"/>
        </w:rPr>
      </w:pPr>
      <w:bookmarkStart w:id="3" w:name="_30j0zll"/>
      <w:bookmarkEnd w:id="3"/>
      <w:r>
        <w:rPr>
          <w:rFonts w:ascii="Times New Roman" w:hAnsi="Times New Roman" w:cs="Times New Roman"/>
          <w:b/>
          <w:sz w:val="26"/>
          <w:szCs w:val="26"/>
        </w:rPr>
        <w:t>TRT e-PAD nº 25000/2019</w:t>
      </w:r>
    </w:p>
    <w:p w:rsidR="008F6CA3" w:rsidRDefault="008F6CA3" w:rsidP="00696F57">
      <w:pPr>
        <w:widowControl w:val="0"/>
        <w:spacing w:line="240" w:lineRule="auto"/>
        <w:ind w:left="1701"/>
        <w:jc w:val="both"/>
        <w:rPr>
          <w:rFonts w:ascii="Times New Roman" w:hAnsi="Times New Roman" w:cs="Times New Roman"/>
          <w:highlight w:val="yellow"/>
        </w:rPr>
      </w:pPr>
    </w:p>
    <w:p w:rsidR="008F6CA3" w:rsidRDefault="008F6CA3" w:rsidP="00696F57">
      <w:pPr>
        <w:widowControl w:val="0"/>
        <w:spacing w:line="240" w:lineRule="auto"/>
        <w:ind w:left="1701"/>
        <w:jc w:val="both"/>
        <w:rPr>
          <w:rFonts w:ascii="Times New Roman" w:hAnsi="Times New Roman" w:cs="Times New Roman"/>
          <w:sz w:val="26"/>
          <w:szCs w:val="26"/>
          <w:lang w:eastAsia="ar-SA"/>
        </w:rPr>
      </w:pPr>
      <w:r>
        <w:rPr>
          <w:rFonts w:ascii="Times New Roman" w:hAnsi="Times New Roman" w:cs="Times New Roman"/>
          <w:sz w:val="26"/>
          <w:szCs w:val="26"/>
        </w:rPr>
        <w:t>Ementa: Constitucional e Administrativo. Oficial de Justiça Avaliador Federal. Gratificação de Atividade Externa. Vantagem Pessoal Nominalmente Identificada, oriunda da incorporação dos quintos. Possibilidade de cumulação. Verbas de natureza distintas. Princípio da Legalidade. Violação à segurança jurídica. Vedação à aplicação retroativa de nova interpretação. Direito adquirido à cumulação. Decadência administrativa. Parcela compensatória.</w:t>
      </w:r>
    </w:p>
    <w:p w:rsidR="008F6CA3" w:rsidRDefault="008F6CA3" w:rsidP="00696F57">
      <w:pPr>
        <w:spacing w:line="240" w:lineRule="auto"/>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sz w:val="26"/>
          <w:szCs w:val="26"/>
        </w:rPr>
      </w:pP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b/>
          <w:sz w:val="26"/>
          <w:szCs w:val="26"/>
        </w:rPr>
        <w:t>Excelências</w:t>
      </w:r>
      <w:r>
        <w:rPr>
          <w:rFonts w:ascii="Times New Roman" w:hAnsi="Times New Roman" w:cs="Times New Roman"/>
          <w:sz w:val="26"/>
          <w:szCs w:val="26"/>
        </w:rPr>
        <w:t>,</w:t>
      </w:r>
    </w:p>
    <w:p w:rsidR="008F6CA3" w:rsidRDefault="008F6CA3" w:rsidP="00696F57">
      <w:pPr>
        <w:widowControl w:val="0"/>
        <w:tabs>
          <w:tab w:val="left" w:pos="2268"/>
        </w:tabs>
        <w:spacing w:line="240" w:lineRule="auto"/>
        <w:jc w:val="both"/>
        <w:rPr>
          <w:rFonts w:ascii="Times New Roman" w:hAnsi="Times New Roman" w:cs="Times New Roman"/>
          <w:sz w:val="26"/>
          <w:szCs w:val="26"/>
        </w:rPr>
      </w:pP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 decisão recorrida merece ser reformada, pois não se conforma com a melhor solução prevista em Direito, notadamente porque há um direito adquirido, protegido pela decadência, de poder haver a cumulação de Gratificação de Atividade Externa - GAE e Vantagem Pessoal Nominalmente Identificada - VPNI. Entendimento esse que se não mantido, sucessivamente, deve provocar o instituto da parcela compensatória, conforme o entendimento do TCU.</w:t>
      </w:r>
    </w:p>
    <w:p w:rsidR="008F6CA3" w:rsidRDefault="008F6CA3" w:rsidP="00696F57">
      <w:pPr>
        <w:widowControl w:val="0"/>
        <w:tabs>
          <w:tab w:val="left" w:pos="2268"/>
        </w:tabs>
        <w:spacing w:line="240" w:lineRule="auto"/>
        <w:ind w:firstLine="1701"/>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rPr>
        <w:t xml:space="preserve">1. </w:t>
      </w:r>
      <w:r>
        <w:rPr>
          <w:rFonts w:ascii="Times New Roman" w:hAnsi="Times New Roman" w:cs="Times New Roman"/>
          <w:b/>
          <w:bCs/>
          <w:sz w:val="26"/>
          <w:szCs w:val="26"/>
          <w:u w:val="single"/>
        </w:rPr>
        <w:t>SÍNTESE DA DECISÃO RECORRIDA</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 recorrente é servidor público federal, ocupante do cargo de Oficial de Justiça Avaliador Federal, sendo que recebe a Vantagem Pessoal Nominalmente Identificada - VPNI, oriunda da incorporação dos quintos, há mais de 10 anos, conforme fazem prova as informações funcionais constantes nestes autos, assim como recebe a Gratificação de Atividade Externa (GAE) pelo exercício do cargo de Oficial de Justiça, portanto, recebendo as parcelas cumulativamente há mais de 5 anos.</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Assim, o servidor recebeu notificação sobre suposta irregularidade na acumulação ilegal das parcelas Quintos ou Décimos – VPNI e Gratificação de Atividade Externa – GAE e assim interpõe o presente recurso administrativo.</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Calibri"/>
          <w:sz w:val="26"/>
          <w:szCs w:val="26"/>
          <w:lang w:eastAsia="ar-SA"/>
        </w:rPr>
      </w:pPr>
      <w:r>
        <w:rPr>
          <w:rFonts w:ascii="Times New Roman" w:hAnsi="Times New Roman"/>
          <w:sz w:val="26"/>
          <w:szCs w:val="26"/>
        </w:rPr>
        <w:t>De plano, ressalta-se que a cumulação é legal, devido à natureza distinta de ambas as parcelas, além de não haver vedação na Lei nº 1.416, de 2006, que instituiu a GAE. Com efeito, a VPNI é oriunda da incorporação de quintos decorrentes do exercício de função comissionada, e a proibição decorrente do § 2º do artigo 16 da referida lei não se aplica à hipótese de incorporação</w:t>
      </w:r>
      <w:r>
        <w:rPr>
          <w:rStyle w:val="FootnoteReference"/>
          <w:rFonts w:ascii="Times New Roman" w:hAnsi="Times New Roman" w:cs="Arial"/>
          <w:sz w:val="26"/>
          <w:szCs w:val="26"/>
        </w:rPr>
        <w:footnoteReference w:id="1"/>
      </w:r>
      <w:r>
        <w:rPr>
          <w:rFonts w:ascii="Times New Roman" w:hAnsi="Times New Roman"/>
          <w:sz w:val="26"/>
          <w:szCs w:val="26"/>
        </w:rPr>
        <w:t>.</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Não fosse suficiente, o arguente possui o direito adquirido ao recebimento de ambas as parcelas, pois já recebe a VPNI de quintos e a GAE, cumulativamente, há pelo menos 10 anos. Logo, o direito de a Administração rever seus atos foi atingido pela decadência.</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Mesmo assim, o Tribunal de Contas da União insiste em sustentar ser ilegal seu pagamento cumulado.</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O equivocado entendimento da Corte de Contas decorre do Acórdão 2.784/2016 (anexo 1), por meio do qual apontou a impossibilidade de manter o ato de aposentadoria de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 xml:space="preserve">Conforme se extrai do acórdão, o relator, Ministro Benjamin Zymler, </w:t>
      </w:r>
      <w:r>
        <w:rPr>
          <w:rFonts w:ascii="Times New Roman" w:hAnsi="Times New Roman"/>
          <w:b/>
          <w:sz w:val="26"/>
          <w:szCs w:val="26"/>
        </w:rPr>
        <w:t>contrariando os pareceres da unidade técnica e do Ministério Público junto ao TCU</w:t>
      </w:r>
      <w:r>
        <w:rPr>
          <w:rFonts w:ascii="Times New Roman" w:hAnsi="Times New Roman"/>
          <w:sz w:val="26"/>
          <w:szCs w:val="26"/>
        </w:rPr>
        <w:t xml:space="preserve">, que entenderem pela </w:t>
      </w:r>
      <w:r>
        <w:rPr>
          <w:rFonts w:ascii="Times New Roman" w:hAnsi="Times New Roman"/>
          <w:b/>
          <w:sz w:val="26"/>
          <w:szCs w:val="26"/>
        </w:rPr>
        <w:t>legalidade</w:t>
      </w:r>
      <w:r>
        <w:rPr>
          <w:rFonts w:ascii="Times New Roman" w:hAnsi="Times New Roman"/>
          <w:sz w:val="26"/>
          <w:szCs w:val="26"/>
        </w:rPr>
        <w:t xml:space="preserve"> da incorporação dos quintos cumulativamente com a Gratificação de Atividade Externa, assentou que o artigo 16, § 2º, da Lei nº 11.416, de 2006, vedaria a percepção de forma cumulada, que também encontraria óbice na suposta natureza de “gratificação geral” das parcelas incorporadas:</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rPr>
        <w:t xml:space="preserve">(...) 3. </w:t>
      </w:r>
      <w:r>
        <w:rPr>
          <w:rFonts w:ascii="Times New Roman" w:hAnsi="Times New Roman"/>
          <w:b/>
        </w:rPr>
        <w:t>Os pareceres exarados nos autos foram uníssonos pela legalidade dos atos</w:t>
      </w: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4. </w:t>
      </w:r>
      <w:r>
        <w:rPr>
          <w:rFonts w:ascii="Times New Roman" w:hAnsi="Times New Roman"/>
          <w:b/>
          <w:bCs/>
        </w:rPr>
        <w:t>Data maxima venia</w:t>
      </w:r>
      <w:r>
        <w:rPr>
          <w:rFonts w:ascii="Times New Roman" w:hAnsi="Times New Roman"/>
        </w:rPr>
        <w:t>, dissinto do encaminhamento proposto, exceto quanto ao ato número de controle 20782110-04-2015-000038-0 (servidor José Martins, Técnico Judiciário), em relação ao qual não faço reparos.</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6. Ocorre que tanto a GRG quanto a FC-5 não possuía natureza de função de confiança, pois era paga a todos os ocupantes do cargo efetivo de Analista Judiciário, especialidade Oficial de Justiça Avaliador. Logo, a “investidura” na função não dependia de escolha da autoridade, do quesito confiança, inerente a todos os ocupantes de função comissionada. Tampouco poderiam seus ocupantes ser demitidos </w:t>
      </w:r>
      <w:r>
        <w:rPr>
          <w:rFonts w:ascii="Times New Roman" w:hAnsi="Times New Roman"/>
          <w:b/>
          <w:bCs/>
        </w:rPr>
        <w:t>ad nutum. </w:t>
      </w:r>
      <w:r>
        <w:rPr>
          <w:rFonts w:ascii="Times New Roman" w:hAnsi="Times New Roman"/>
        </w:rPr>
        <w:t>Assim, a despeito do </w:t>
      </w:r>
      <w:r>
        <w:rPr>
          <w:rFonts w:ascii="Times New Roman" w:hAnsi="Times New Roman"/>
          <w:b/>
          <w:bCs/>
        </w:rPr>
        <w:t>nomen iuris</w:t>
      </w:r>
      <w:r>
        <w:rPr>
          <w:rFonts w:ascii="Times New Roman" w:hAnsi="Times New Roman"/>
        </w:rPr>
        <w:t>, claro está que se tratava de verdadeira gratificação paga em razão do exercício das atribuições típicas do cargo (execução de mandatos) e criada por normativos internos do TRF da 2ª Região.</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8. Embora a própria criação dessa gratificação, por meio de ato administrativo, pudesse ser examinada sob o aspecto da legalidade, o fato é que essa vantagem não possui natureza de função (pois paga indistintamente a todos os Oficiais de Justiça) e, portanto, não teria o condão de gerar a incorporação de quintos.</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10. Ademais, não se deve olvidar que o art. 16 da Lei 11.416/2006, que instituiu a Gratificação de Atividade Externa (GAE), devida exclusivamente ao Oficial de Justiça Avaliador, vedou a percepção dessa gratificação para os servidores designados para o exercício de função comissionada e para os ocupantes de cargo em comissão:</w:t>
      </w:r>
    </w:p>
    <w:p w:rsidR="008F6CA3" w:rsidRDefault="008F6CA3" w:rsidP="00696F57">
      <w:pPr>
        <w:spacing w:line="240" w:lineRule="auto"/>
        <w:ind w:left="1701"/>
        <w:jc w:val="both"/>
        <w:rPr>
          <w:rFonts w:ascii="Times New Roman" w:hAnsi="Times New Roman"/>
        </w:rPr>
      </w:pPr>
      <w:r>
        <w:rPr>
          <w:rFonts w:ascii="Times New Roman" w:hAnsi="Times New Roman"/>
        </w:rPr>
        <w:t>“</w:t>
      </w:r>
      <w:r>
        <w:rPr>
          <w:rFonts w:ascii="Times New Roman" w:hAnsi="Times New Roman"/>
          <w:i/>
          <w:iCs/>
        </w:rPr>
        <w:t>Art. 16. Fica instituída a Gratificação de Atividade Externa – GAE, devida exclusivamente aos ocupantes do cargo de Analista Judiciário referidos no § 1o do art. 4º desta Lei.</w:t>
      </w:r>
    </w:p>
    <w:p w:rsidR="008F6CA3" w:rsidRDefault="008F6CA3" w:rsidP="00696F57">
      <w:pPr>
        <w:spacing w:line="240" w:lineRule="auto"/>
        <w:ind w:left="1701"/>
        <w:jc w:val="both"/>
        <w:rPr>
          <w:rFonts w:ascii="Times New Roman" w:hAnsi="Times New Roman"/>
        </w:rPr>
      </w:pPr>
      <w:r>
        <w:rPr>
          <w:rFonts w:ascii="Times New Roman" w:hAnsi="Times New Roman"/>
          <w:i/>
          <w:iCs/>
        </w:rPr>
        <w:t>§ 1º A gratificação de que trata este artigo corresponde a 35% (trinta e cinco por cento) do vencimento básico do servidor.</w:t>
      </w:r>
    </w:p>
    <w:p w:rsidR="008F6CA3" w:rsidRDefault="008F6CA3" w:rsidP="00696F57">
      <w:pPr>
        <w:spacing w:line="240" w:lineRule="auto"/>
        <w:ind w:left="1701"/>
        <w:jc w:val="both"/>
        <w:rPr>
          <w:rFonts w:ascii="Times New Roman" w:hAnsi="Times New Roman"/>
        </w:rPr>
      </w:pPr>
      <w:r>
        <w:rPr>
          <w:rFonts w:ascii="Times New Roman" w:hAnsi="Times New Roman"/>
          <w:i/>
          <w:iCs/>
        </w:rPr>
        <w:t xml:space="preserve">§ 2º </w:t>
      </w:r>
      <w:r>
        <w:rPr>
          <w:rFonts w:ascii="Times New Roman" w:hAnsi="Times New Roman"/>
          <w:b/>
          <w:bCs/>
          <w:i/>
          <w:iCs/>
        </w:rPr>
        <w:t>É vedada a percepção da gratificação prevista neste artigo pelo servidor designado para o exercício de função comissionada ou nomeado para cargo em comissão</w:t>
      </w:r>
      <w:r>
        <w:rPr>
          <w:rFonts w:ascii="Times New Roman" w:hAnsi="Times New Roman"/>
          <w:i/>
          <w:iCs/>
        </w:rPr>
        <w:t>.</w:t>
      </w:r>
      <w:r>
        <w:rPr>
          <w:rFonts w:ascii="Times New Roman" w:hAnsi="Times New Roman"/>
        </w:rPr>
        <w:t>”</w:t>
      </w:r>
      <w:r>
        <w:rPr>
          <w:rFonts w:ascii="Times New Roman" w:hAnsi="Times New Roman"/>
          <w:b/>
          <w:bCs/>
          <w:i/>
          <w:iCs/>
        </w:rPr>
        <w:t> </w:t>
      </w:r>
      <w:r>
        <w:rPr>
          <w:rFonts w:ascii="Times New Roman" w:hAnsi="Times New Roman"/>
        </w:rPr>
        <w:t>(grifei)</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21. Assim, tendo em vista que tanto a vantagem dos “quintos” como a GAE têm origem no desempenho das atividades de execução de mandados, há verdadeiro </w:t>
      </w:r>
      <w:r>
        <w:rPr>
          <w:rFonts w:ascii="Times New Roman" w:hAnsi="Times New Roman"/>
          <w:b/>
          <w:bCs/>
        </w:rPr>
        <w:t>bis in idem</w:t>
      </w:r>
      <w:r>
        <w:rPr>
          <w:rFonts w:ascii="Times New Roman" w:hAnsi="Times New Roman"/>
        </w:rPr>
        <w:t>, razão pela qual o ato número de controle</w:t>
      </w:r>
      <w:r>
        <w:rPr>
          <w:rFonts w:ascii="Times New Roman" w:hAnsi="Times New Roman"/>
          <w:b/>
          <w:bCs/>
        </w:rPr>
        <w:t> </w:t>
      </w:r>
      <w:r>
        <w:rPr>
          <w:rFonts w:ascii="Times New Roman" w:hAnsi="Times New Roman"/>
        </w:rPr>
        <w:t>20782110-04-2014-000035-3 deve ser considerado ilegal. (grifou-se)</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Contudo, tal entendimento não merece prosperar, notadamente porque o artigo 16, § 2º, da Lei nº 11.416, de 2006, não pode ser interpretado extensivamente para suprimir direitos, bem como porque a VPNI de quintos incorporada pelo arguente não possuía “caráter geral”, não sendo paga, portanto, indistintamente a todos os oficiais de justiça, e não se confundia com a destinação da Gratificação de Atividade Externa.</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Bem por isso que a unidade técnica do TRT-18, acertadamente, concluiu ser legal a cumulação (Processo Administrativo nº 12235/2019 – anexo 2):</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rPr>
        <w:t>(...) O entendimento do TCU se aplica, em tese, aos servidores deste Regional ocupantes do cargo de Oficial de Justiça, que também eram remunerados com uma função pelo exercício das atrbribuições (</w:t>
      </w:r>
      <w:r>
        <w:rPr>
          <w:rFonts w:ascii="Times New Roman" w:hAnsi="Times New Roman"/>
          <w:i/>
        </w:rPr>
        <w:t>sic</w:t>
      </w:r>
      <w:r>
        <w:rPr>
          <w:rFonts w:ascii="Times New Roman" w:hAnsi="Times New Roman"/>
        </w:rPr>
        <w:t>) típicas do seu cargo efetivo, denominada função comissionada de Oficial Especializado, nível FC-4, posteriormente incorporadas na remuneração desses servidores por força da legislação de regência vigente à época.</w:t>
      </w:r>
    </w:p>
    <w:p w:rsidR="008F6CA3" w:rsidRDefault="008F6CA3" w:rsidP="00696F57">
      <w:pPr>
        <w:spacing w:line="240" w:lineRule="auto"/>
        <w:ind w:left="1701"/>
        <w:jc w:val="both"/>
        <w:rPr>
          <w:rFonts w:ascii="Times New Roman" w:hAnsi="Times New Roman"/>
        </w:rPr>
      </w:pPr>
      <w:r>
        <w:rPr>
          <w:rFonts w:ascii="Times New Roman" w:hAnsi="Times New Roman"/>
        </w:rPr>
        <w:t>Essa prática, diga-se de passagem, fora adotada na maioria dos Regionais e perdurou até a edição da Lei 11.416/2006, que institui a Gratificação de Atividade Externa – GAE.</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Não obstante o entendimento do TCU, este Tribunal, com amparo em pareceres deste Núcleo de Legislação de Pessoal, tem mantido o pagamento cumulado da GAE com as VPNI's (quintos/décimos) decorrentes da incorporação das funções comissionadas de Oficial Especializado/FC-4 e de Executante de Mandados, níveis FC-3 e FC-5.</w:t>
      </w:r>
    </w:p>
    <w:p w:rsidR="008F6CA3" w:rsidRDefault="008F6CA3" w:rsidP="00696F57">
      <w:pPr>
        <w:spacing w:line="240" w:lineRule="auto"/>
        <w:ind w:left="1701"/>
        <w:jc w:val="both"/>
        <w:rPr>
          <w:rFonts w:ascii="Times New Roman" w:hAnsi="Times New Roman"/>
        </w:rPr>
      </w:pPr>
      <w:r>
        <w:rPr>
          <w:rFonts w:ascii="Times New Roman" w:hAnsi="Times New Roman"/>
          <w:b/>
        </w:rPr>
        <w:t>A posição deste Núcleo leva em consideração os efeitos jurídicos produzidos pela passagem do tempo, conjugado com a boa-fé dos servidores, dentre os próprios princípios consagrados pelo direito administrativo, a exemplo da segurança jurídica</w:t>
      </w: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 xml:space="preserve">No âmbito deste Tribunal, </w:t>
      </w:r>
      <w:r>
        <w:rPr>
          <w:rFonts w:ascii="Times New Roman" w:hAnsi="Times New Roman"/>
          <w:b/>
        </w:rPr>
        <w:t>é incontroverso</w:t>
      </w:r>
      <w:r>
        <w:rPr>
          <w:rFonts w:ascii="Times New Roman" w:hAnsi="Times New Roman"/>
        </w:rPr>
        <w:t xml:space="preserve"> o fato de que os atos administrativos que determinaram a incorporação das parcelas de quintos/décimos/VPNI’s decorrentes do exercício da função comissionada de Oficial Especializado/FC-4 foram praticados </w:t>
      </w:r>
      <w:r>
        <w:rPr>
          <w:rFonts w:ascii="Times New Roman" w:hAnsi="Times New Roman"/>
          <w:b/>
        </w:rPr>
        <w:t>há bem mais do que cinco anos</w:t>
      </w:r>
      <w:r>
        <w:rPr>
          <w:rFonts w:ascii="Times New Roman" w:hAnsi="Times New Roman"/>
        </w:rPr>
        <w:t xml:space="preserve"> (...)</w:t>
      </w:r>
    </w:p>
    <w:p w:rsidR="008F6CA3" w:rsidRDefault="008F6CA3" w:rsidP="00696F57">
      <w:pPr>
        <w:spacing w:line="240" w:lineRule="auto"/>
        <w:ind w:left="1701"/>
        <w:jc w:val="both"/>
        <w:rPr>
          <w:rFonts w:ascii="Times New Roman" w:hAnsi="Times New Roman"/>
        </w:rPr>
      </w:pPr>
      <w:r>
        <w:rPr>
          <w:rFonts w:ascii="Times New Roman" w:hAnsi="Times New Roman"/>
        </w:rPr>
        <w:t xml:space="preserve">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 </w:t>
      </w:r>
      <w:r>
        <w:rPr>
          <w:rFonts w:ascii="Times New Roman" w:hAnsi="Times New Roman"/>
          <w:b/>
          <w:u w:val="single"/>
        </w:rPr>
        <w:t>Registro ainda que na mencionada decisão, proferida por ocasião da apreciação da legalidade de atos de aposentadoria, não foi determinada a revisão das incorporações dos servidores ativos</w:t>
      </w:r>
      <w:r>
        <w:rPr>
          <w:rFonts w:ascii="Times New Roman" w:hAnsi="Times New Roman"/>
        </w:rPr>
        <w:t xml:space="preserve"> e tampouco dos inativos, ficando circunscrita ao caso concreto, não obrigando, por conseguinte, os demais órgãos que estão sob sua fiscalização. (grifou-se)</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No mesmo sentido entendem as áreas técnicas do Tribunal Regional do Trabalho da 10ª Região e do Tribunal Regional do Trabalho da 15ª Região, conforme se verificará a seguir.</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Todavia, o Tribunal de Contas da União insiste em “orientar” os tribunais no sentido de notificar os servidores para apresentarem defesa, que certamente precederá o corte indevido de uma das parcelas.</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Ocorre que a cumulação, além de ser legal, está protegida pela decadência administrativa e pelos princípios que garantem a segurança jurídica das situações já consolidadas.</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Ademais, mesmo que equivocadamente não se entenda pela legalidade, o procedimento de apuração do próprio Tribunal de Contas da União indica que nenhuma das parcelas deve ser suprimida de imediato, devendo se converter uma das rubricas em parcelas compensatórias, para que haja respeito ao princípio da irredutibilidade de vencimentos.</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2. </w:t>
      </w:r>
      <w:r>
        <w:rPr>
          <w:rFonts w:ascii="Times New Roman" w:hAnsi="Times New Roman" w:cs="Times New Roman"/>
          <w:b/>
          <w:sz w:val="26"/>
          <w:szCs w:val="26"/>
          <w:u w:val="single"/>
        </w:rPr>
        <w:t>RAZÕES RECURSAIS</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right="15"/>
        <w:jc w:val="both"/>
        <w:rPr>
          <w:rFonts w:ascii="Quattrocento Sans" w:hAnsi="Quattrocento Sans" w:cs="Quattrocento Sans"/>
          <w:sz w:val="18"/>
          <w:szCs w:val="18"/>
        </w:rPr>
      </w:pPr>
      <w:r>
        <w:rPr>
          <w:rFonts w:ascii="Times New Roman" w:hAnsi="Times New Roman" w:cs="Times New Roman"/>
          <w:b/>
          <w:sz w:val="26"/>
          <w:szCs w:val="26"/>
        </w:rPr>
        <w:t>2.1. </w:t>
      </w:r>
      <w:r>
        <w:rPr>
          <w:rFonts w:ascii="Times New Roman" w:hAnsi="Times New Roman" w:cs="Times New Roman"/>
          <w:b/>
          <w:sz w:val="26"/>
          <w:szCs w:val="26"/>
          <w:u w:val="single"/>
        </w:rPr>
        <w:t>Da VPNI oriunda de quintos incorporados</w:t>
      </w: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nº 8.112, de 1990, que assim previa:</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Art. 62. Ao servidor investido em função de direção, chefia ou assessoramento é devida uma gratificação pelo seu exercício.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2º A gratificação prevista neste </w:t>
      </w:r>
      <w:r>
        <w:rPr>
          <w:rFonts w:ascii="Times New Roman" w:hAnsi="Times New Roman" w:cs="Times New Roman"/>
          <w:b/>
        </w:rPr>
        <w:t>artigo incorpora-se à remuneração do servidor e integra o provento da aposentadoria, na proporção de 1/5 (um quinto) por ano de exercício na função de direção, chefia ou assessoramento, até o limite de 5 (cinco) quintos</w:t>
      </w:r>
      <w:r>
        <w:rPr>
          <w:rFonts w:ascii="Times New Roman" w:hAnsi="Times New Roman" w:cs="Times New Roman"/>
        </w:rPr>
        <w:t>. (grifou-se) </w:t>
      </w:r>
    </w:p>
    <w:p w:rsidR="008F6CA3" w:rsidRDefault="008F6CA3" w:rsidP="00696F57">
      <w:pPr>
        <w:spacing w:line="240" w:lineRule="auto"/>
        <w:ind w:left="1695" w:right="15"/>
        <w:jc w:val="both"/>
        <w:rPr>
          <w:rFonts w:ascii="Quattrocento Sans" w:hAnsi="Quattrocento Sans" w:cs="Quattrocento Sans"/>
          <w:sz w:val="26"/>
          <w:szCs w:val="26"/>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Ao dispor sobre o assunto, a Lei nº 8.911, de 1994, no seu artigo 3º, preceituava:</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 </w:t>
      </w:r>
    </w:p>
    <w:p w:rsidR="008F6CA3" w:rsidRDefault="008F6CA3" w:rsidP="00696F57">
      <w:pPr>
        <w:spacing w:line="240" w:lineRule="auto"/>
        <w:ind w:left="1695" w:right="1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Posteriormente, com a entrada em vigor da Lei nº 9.527, de 1997, que alterou as Leis nº 8.112, de 1990 e nº 8.911, de 1994, para deixar de prever a incorporação dos quintos, as parcelas incorporadas foram transformadas em Vantagem Pessoal Nominalmente Identificada – VPNI, por força do disposto no artigo 15:</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Art. 15. Fica extinta a incorporação da retribuição pelo exercício de função de direção, chefia ou assessoramento, cargo de provimento em comissão ou de Natureza Especial a que se referem os arts. 3º e 10 da Lei nº 8.911, de 11 de julho de 1994.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1º </w:t>
      </w:r>
      <w:r>
        <w:rPr>
          <w:rFonts w:ascii="Times New Roman" w:hAnsi="Times New Roman" w:cs="Times New Roman"/>
          <w:b/>
        </w:rPr>
        <w:t>A importância paga em razão da incorporação a que se refere este artigo passa a constituir, a partir de 11 de novembro de 1997, vantagem pessoal nominalmente identificada</w:t>
      </w:r>
      <w:r>
        <w:rPr>
          <w:rFonts w:ascii="Times New Roman" w:hAnsi="Times New Roman" w:cs="Times New Roman"/>
        </w:rPr>
        <w:t>, sujeita exclusivamente à atualização decorrente da revisão geral da remuneração dos servidores públicos federais.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2º É assegurado o direito à incorporação ou atualização de parcela ao servidor que, em 11 de novembro de 1997, tiver cumprido todos os requisitos legais para a concessão ou atualização a ela referente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Portanto, com a vigência do artigo 62 da Lei nº 8.112, de 1990, regulado pela Lei nº 9.911, de 1994, estabeleceu-se que a incorporação de quintos seria calculada na proporção de um quinto por ano de exercício das referidas funções, até o limite de cinco quintos. Após, com a edição da Lei nº 9.527, de 1997, a possibilidade de incorporação desta parcela foi extinta e as vantagens já incorporadas foram transformadas em Vantagem Pessoal Nominalmente Identificada.</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Desse modo, percebe-se que a incorporação dos quintos e sua transformação em VPNI ocorreram </w:t>
      </w:r>
      <w:r>
        <w:rPr>
          <w:rFonts w:ascii="Times New Roman" w:hAnsi="Times New Roman" w:cs="Times New Roman"/>
          <w:b/>
          <w:sz w:val="26"/>
          <w:szCs w:val="26"/>
        </w:rPr>
        <w:t>há muito mais de 5 (cinco) anos</w:t>
      </w:r>
      <w:r>
        <w:rPr>
          <w:rFonts w:ascii="Times New Roman" w:hAnsi="Times New Roman" w:cs="Times New Roman"/>
          <w:sz w:val="26"/>
          <w:szCs w:val="26"/>
        </w:rPr>
        <w:t>.</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Veja-se que o entendimento firmado pelo Tribunal de Contas da União aduz que não poderia haver o pagamento cumulativo das parcelas justamente pelo fato de que, assim como a Gratificação de Atividade Externa, os quintos constituíam-se como uma parcela de natureza geral e abstrata, concedida a todos Oficiais de Justiça. Todavia, esse entendimento não encontra respaldo na legislação.</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A título exemplificativo, no âmbito da </w:t>
      </w:r>
      <w:r>
        <w:rPr>
          <w:rFonts w:ascii="Times New Roman" w:hAnsi="Times New Roman" w:cs="Times New Roman"/>
          <w:b/>
          <w:sz w:val="26"/>
          <w:szCs w:val="26"/>
        </w:rPr>
        <w:t>Justiça Federal</w:t>
      </w:r>
      <w:r>
        <w:rPr>
          <w:rFonts w:ascii="Times New Roman" w:hAnsi="Times New Roman" w:cs="Times New Roman"/>
          <w:sz w:val="26"/>
          <w:szCs w:val="26"/>
        </w:rPr>
        <w:t>, as funções de Executante de Mandados foram criadas pelo Ato Regulamentar CJF nº 641, de 1987 (anexo 3), que eram retribuídos na forma de Gratificação de Representação. Note-se que, conforme dispõe o ato, as designações para a função de Executante de Mandados não aconteciam de forma automática, mas dependiam de ato do Diretor do Foro da respectiva Seção Judiciária, após a indicação do Juiz Federal</w:t>
      </w:r>
      <w:r>
        <w:rPr>
          <w:rStyle w:val="FootnoteReference"/>
          <w:rFonts w:ascii="Times New Roman" w:hAnsi="Times New Roman"/>
          <w:sz w:val="26"/>
          <w:szCs w:val="26"/>
        </w:rPr>
        <w:footnoteReference w:id="2"/>
      </w:r>
      <w:r>
        <w:rPr>
          <w:rFonts w:ascii="Times New Roman" w:hAnsi="Times New Roman" w:cs="Times New Roman"/>
          <w:sz w:val="26"/>
          <w:szCs w:val="26"/>
        </w:rPr>
        <w:t>.</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 mesmo ocorre com os servidores vinculados à </w:t>
      </w:r>
      <w:r>
        <w:rPr>
          <w:rFonts w:ascii="Times New Roman" w:hAnsi="Times New Roman" w:cs="Times New Roman"/>
          <w:b/>
          <w:sz w:val="26"/>
          <w:szCs w:val="26"/>
        </w:rPr>
        <w:t>Justiça do Trabalho</w:t>
      </w:r>
      <w:r>
        <w:rPr>
          <w:rFonts w:ascii="Times New Roman" w:hAnsi="Times New Roman" w:cs="Times New Roman"/>
          <w:sz w:val="26"/>
          <w:szCs w:val="26"/>
        </w:rPr>
        <w:t>, que também percebem quintos decorrentes de designação para função comissionada, conforme se verifica, por exemplo, da unidade técnica do TRT-18, em sua manifestação no Processo Administrativo nº 12235/2019 (anexo 2):</w:t>
      </w:r>
    </w:p>
    <w:p w:rsidR="008F6CA3" w:rsidRDefault="008F6CA3" w:rsidP="00696F57">
      <w:pPr>
        <w:spacing w:line="240" w:lineRule="auto"/>
        <w:ind w:firstLine="1701"/>
        <w:jc w:val="both"/>
        <w:rPr>
          <w:rFonts w:ascii="Times New Roman" w:hAnsi="Times New Roman" w:cs="Calibri"/>
          <w:sz w:val="26"/>
          <w:szCs w:val="26"/>
          <w:lang w:eastAsia="ar-SA"/>
        </w:rPr>
      </w:pPr>
    </w:p>
    <w:p w:rsidR="008F6CA3" w:rsidRDefault="008F6CA3" w:rsidP="00696F57">
      <w:pPr>
        <w:spacing w:line="240" w:lineRule="auto"/>
        <w:ind w:left="1701"/>
        <w:jc w:val="both"/>
        <w:rPr>
          <w:rFonts w:ascii="Times New Roman" w:hAnsi="Times New Roman"/>
        </w:rPr>
      </w:pPr>
      <w:r>
        <w:rPr>
          <w:rFonts w:ascii="Times New Roman" w:hAnsi="Times New Roman"/>
        </w:rPr>
        <w:t xml:space="preserve">(...) O entendimento do TCU se aplica, em tese, aos servidores deste Regional ocupantes do cargo de Oficial de Justiça, que </w:t>
      </w:r>
      <w:r>
        <w:rPr>
          <w:rFonts w:ascii="Times New Roman" w:hAnsi="Times New Roman"/>
          <w:b/>
        </w:rPr>
        <w:t>também eram remunerados com uma função pelo exercício das atrbribuições (</w:t>
      </w:r>
      <w:r>
        <w:rPr>
          <w:rFonts w:ascii="Times New Roman" w:hAnsi="Times New Roman"/>
          <w:b/>
          <w:i/>
        </w:rPr>
        <w:t>sic</w:t>
      </w:r>
      <w:r>
        <w:rPr>
          <w:rFonts w:ascii="Times New Roman" w:hAnsi="Times New Roman"/>
          <w:b/>
        </w:rPr>
        <w:t>) típicas do seu cargo efetivo, denominada função comissionada de Oficial Especializado, nível FC-4, posteriormente incorporadas na remuneração desses servidores por força da legislação de regência vigente à época</w:t>
      </w: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b/>
        </w:rPr>
        <w:t>Essa prática</w:t>
      </w:r>
      <w:r>
        <w:rPr>
          <w:rFonts w:ascii="Times New Roman" w:hAnsi="Times New Roman"/>
        </w:rPr>
        <w:t xml:space="preserve">, diga-se de passagem, </w:t>
      </w:r>
      <w:r>
        <w:rPr>
          <w:rFonts w:ascii="Times New Roman" w:hAnsi="Times New Roman"/>
          <w:b/>
        </w:rPr>
        <w:t>fora adotada na maioria dos Regionais</w:t>
      </w:r>
      <w:r>
        <w:rPr>
          <w:rFonts w:ascii="Times New Roman" w:hAnsi="Times New Roman"/>
        </w:rPr>
        <w:t xml:space="preserve"> e perdurou até a edição da Lei 11.416/2006, que institui a Gratificação de Atividade Externa – GAE. (grifou-se)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Reforçando a natureza específica das designações para o exercício das funções comissionadas, convém referir o parecer exarado pelo Secretário de Auditoria e Controle Interno, no âmbito do Tribunal Regional do Trabalho da 10ª Região (Processo nº 0007560-84.2019.5.10.8000), o qual não deixa dúvidas de que as funções não possuíam caráter geral e dependiam de prévia designação. Veja-se: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701" w:right="15" w:hanging="6"/>
        <w:jc w:val="both"/>
        <w:rPr>
          <w:rFonts w:ascii="Times New Roman" w:hAnsi="Times New Roman" w:cs="Times New Roman"/>
        </w:rPr>
      </w:pPr>
      <w:r>
        <w:rPr>
          <w:rFonts w:ascii="Times New Roman" w:hAnsi="Times New Roman" w:cs="Times New Roman"/>
        </w:rPr>
        <w:t xml:space="preserve">No âmbito da Justiça do Trabalho, a impessoalidade e generalidade na designação para a ocupação de Funções Comissionadas pelos Oficiais de Justiça não eram uma realidade absoluta, </w:t>
      </w:r>
      <w:r>
        <w:rPr>
          <w:rFonts w:ascii="Times New Roman" w:hAnsi="Times New Roman" w:cs="Times New Roman"/>
          <w:b/>
        </w:rPr>
        <w:t>havendo, em muitos casos, a necessidade de expressa designação</w:t>
      </w:r>
      <w:r>
        <w:rPr>
          <w:rFonts w:ascii="Times New Roman" w:hAnsi="Times New Roman" w:cs="Times New Roman"/>
        </w:rPr>
        <w:t xml:space="preserve">. Nesse contexto, </w:t>
      </w:r>
      <w:r>
        <w:rPr>
          <w:rFonts w:ascii="Times New Roman" w:hAnsi="Times New Roman" w:cs="Times New Roman"/>
          <w:b/>
        </w:rPr>
        <w:t>não se pode afirmar categoricamente que havia o pagamento indistinto e a todos os oficiais de justiça</w:t>
      </w:r>
      <w:r>
        <w:rPr>
          <w:rFonts w:ascii="Times New Roman" w:hAnsi="Times New Roman" w:cs="Times New Roman"/>
        </w:rPr>
        <w:t xml:space="preserve"> (...) </w:t>
      </w:r>
    </w:p>
    <w:p w:rsidR="008F6CA3" w:rsidRDefault="008F6CA3" w:rsidP="00696F57">
      <w:pPr>
        <w:spacing w:line="240" w:lineRule="auto"/>
        <w:ind w:left="1701" w:right="15" w:hanging="6"/>
        <w:jc w:val="both"/>
        <w:rPr>
          <w:rFonts w:ascii="Times New Roman" w:hAnsi="Times New Roman" w:cs="Times New Roman"/>
        </w:rPr>
      </w:pPr>
      <w:r>
        <w:rPr>
          <w:rFonts w:ascii="Times New Roman" w:hAnsi="Times New Roman" w:cs="Times New Roman"/>
        </w:rPr>
        <w:t xml:space="preserve">Logo, não prospera a afirmação de que na Justiça do Trabalho as funções comissionadas eram pagas indistintamente e tampouco que foram criadas para substituir a GAE. Tanto é assim que </w:t>
      </w:r>
      <w:r>
        <w:rPr>
          <w:rFonts w:ascii="Times New Roman" w:hAnsi="Times New Roman" w:cs="Times New Roman"/>
          <w:b/>
        </w:rPr>
        <w:t>as funções pagas não eram necessariamente de mesmo nível, posto que muitos Tribunais, em face de sua autonomia administrativa, destinaram à categoria o nível FC 05, outros o FC 04, e alguns, como é o caso deste Tribunal, o FC 03</w:t>
      </w:r>
      <w:r>
        <w:rPr>
          <w:rFonts w:ascii="Times New Roman" w:hAnsi="Times New Roman" w:cs="Times New Roman"/>
        </w:rPr>
        <w:t>. (grifou-se)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Como se vê, </w:t>
      </w:r>
      <w:r>
        <w:rPr>
          <w:rFonts w:ascii="Times New Roman" w:hAnsi="Times New Roman" w:cs="Times New Roman"/>
          <w:b/>
          <w:sz w:val="26"/>
          <w:szCs w:val="26"/>
        </w:rPr>
        <w:t>a função comissionada não era devida automaticamente a todos seus ocupantes, sendo necessária a designação formal, inclusive havendo diferenciações de acordo com a realidade de cada tribunal, e considerando sua autônoma administrativa</w:t>
      </w:r>
      <w:r>
        <w:rPr>
          <w:rFonts w:ascii="Times New Roman" w:hAnsi="Times New Roman" w:cs="Times New Roman"/>
          <w:sz w:val="26"/>
          <w:szCs w:val="26"/>
        </w:rPr>
        <w:t>. Tanto é que o Poder Judiciário também já se manifestou nesse sentido, afirmando que a gratificação de Executante de Mandados não é uma simples consequência da investidura no cargo de Oficial de Justiça, devendo haver a indicação da chefia</w:t>
      </w:r>
      <w:r>
        <w:rPr>
          <w:rFonts w:ascii="Times New Roman" w:hAnsi="Times New Roman" w:cs="Times New Roman"/>
          <w:sz w:val="24"/>
          <w:szCs w:val="24"/>
          <w:vertAlign w:val="superscript"/>
        </w:rPr>
        <w:footnoteReference w:id="3"/>
      </w:r>
      <w:r>
        <w:rPr>
          <w:rFonts w:ascii="Times New Roman" w:hAnsi="Times New Roman" w:cs="Times New Roman"/>
          <w:sz w:val="26"/>
          <w:szCs w:val="26"/>
        </w:rPr>
        <w:t>-</w:t>
      </w:r>
      <w:r>
        <w:rPr>
          <w:rFonts w:ascii="Times New Roman" w:hAnsi="Times New Roman" w:cs="Times New Roman"/>
          <w:sz w:val="24"/>
          <w:szCs w:val="24"/>
          <w:vertAlign w:val="superscript"/>
        </w:rPr>
        <w:footnoteReference w:id="4"/>
      </w:r>
      <w:r>
        <w:rPr>
          <w:rFonts w:ascii="Times New Roman" w:hAnsi="Times New Roman" w:cs="Times New Roman"/>
          <w:sz w:val="26"/>
          <w:szCs w:val="26"/>
        </w:rPr>
        <w:t>. </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O próprio TCU, em outro momento, no Processo TC 005.333/2012-1, se manifestou no sentido de que a Gratificação de Executante de Mandados não era devida a todos os Oficiais de Justiça:</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sz w:val="20"/>
          <w:szCs w:val="20"/>
        </w:rPr>
      </w:pPr>
      <w:r>
        <w:rPr>
          <w:rFonts w:ascii="Times New Roman" w:hAnsi="Times New Roman" w:cs="Times New Roman"/>
          <w:sz w:val="20"/>
          <w:szCs w:val="20"/>
        </w:rPr>
        <w:t>APOSENTADORIAS. PAGAMENTO DE PARCELAS DE QUINTOS DA FUNÇÃO DE EXECUTANTE DE MANDADOS, SEM PORTARIA DE DESIGNAÇÃO PARA A OCUPAÇÃO DA REFERIDA FUNÇÃO DE CONFIANÇA. ILEGALIDADE. PEDIDO DE REEXAME. ARGUMENTOS INSUFICIENTES PARA A ALTERAÇÃO DO ACÓRDÃO RECORRIDO. CONHECIMENTO. NEGATIVA DE PROVIMENTO.</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VISTOS, relatados e discutidos estes autos que tratam de pedidos de reexame interpostos por Maria José Bezerra e Valdenice Alexandre da Silva contra o Acórdão 7.097/2014-TCU-2ª Câmara que considerou ilegais os respectivos atos de aposentadoria em razão da incorporação de quintos decorrentes da função de confiança de executante de mandatos sem as correspondentes portarias de designação para as ocupações das referidas funções;</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ACORDAM os Ministros do Tribunal de Contas da União, reunidos em Sessão da 2ª Câmara, ante as razões expostas pelo Relator, e com fundamento no 48 da Lei 8.443/1992, em:</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9.1. conhecer dos presentes recursos, para, no mérito, negar-lhes provimento, mantendo-se inalterado o acórdão recorrido;</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9.2. dar ciência desta deliberação às recorrentes e ao órgão interessado.</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4.5. As funções de confiança são vocacionadas para serem ocupadas em caráter transitório por pessoa de confiança da autoridade competente para preenchê-las, a qual também pode exonerar ad nutum os seus ocupantes.</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4.6. É dizer: nas funções de confiança, em comparação com os cargos de provimento efetivo, existe um requisito adicional, um plus, para a sua ocupação: a fidúcia entre a autoridade competente para a nomeação e o seu ocupante.</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b/>
        </w:rPr>
        <w:t>Assim, o argumento de que a função de confiança de “Execução de Mandados” é inerente ao cargo de provimento efetivo de “Analista Judiciário – Especialidade Execução de Mandados” não pode ser aceita.</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4.8. O entendimento supra é confirmado pela Portaria 553, de 27/11/2008, da Justiça Federal de Primeiro Grau, Seção Judiciária de Pernambuco (peça 43, p. 123), que assim dispôs:</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rsidR="008F6CA3" w:rsidRDefault="008F6CA3" w:rsidP="00696F57">
      <w:pPr>
        <w:spacing w:line="240" w:lineRule="auto"/>
        <w:ind w:left="1701"/>
        <w:jc w:val="both"/>
        <w:rPr>
          <w:rFonts w:ascii="Times New Roman" w:hAnsi="Times New Roman" w:cs="Times New Roman"/>
          <w:b/>
        </w:rPr>
      </w:pPr>
      <w:r>
        <w:rPr>
          <w:rFonts w:ascii="Times New Roman" w:hAnsi="Times New Roman" w:cs="Times New Roman"/>
        </w:rPr>
        <w:t xml:space="preserve">4.9. </w:t>
      </w:r>
      <w:r>
        <w:rPr>
          <w:rFonts w:ascii="Times New Roman" w:hAnsi="Times New Roman" w:cs="Times New Roman"/>
          <w:b/>
        </w:rPr>
        <w:t>De fato, se há Analistas Judiciários – Especialidade Execução de Mandados dispensados da função comissionada de Executantes de Mandados, é porque a referida função comissionada não é inerente ao aludido cargo efetivo.</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b/>
        </w:rPr>
        <w:t>4.10. Assim, para a ocupação da função de confiança de “Execução de Mandados”, é indispensável a publicação da correspondente portaria de nomeação, o que não ocorreu no caso das recorrentes</w:t>
      </w:r>
      <w:r>
        <w:rPr>
          <w:rFonts w:ascii="Times New Roman" w:hAnsi="Times New Roman" w:cs="Times New Roman"/>
        </w:rPr>
        <w:t>.</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4.11. Nessa ordem de ideias, é de se negar provimento ao presente pedido de reexame. (...) (grifou-se)</w:t>
      </w:r>
    </w:p>
    <w:p w:rsidR="008F6CA3" w:rsidRDefault="008F6CA3" w:rsidP="00696F57">
      <w:pPr>
        <w:spacing w:line="240" w:lineRule="auto"/>
        <w:ind w:right="15" w:firstLine="1695"/>
        <w:jc w:val="both"/>
        <w:rPr>
          <w:rFonts w:ascii="Times New Roman" w:hAnsi="Times New Roman" w:cs="Times New Roman"/>
        </w:rPr>
      </w:pPr>
      <w:r>
        <w:rPr>
          <w:rFonts w:ascii="Times New Roman" w:hAnsi="Times New Roman" w:cs="Times New Roman"/>
        </w:rPr>
        <w:t>(TC 005.333/2012-1. Relator Vital do Rêgo)</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Dessa forma, mostra-se equivocado o entendimento do TCU no Acórdão nº 2784/2016 no sentido de que “a percepção da gratificação FC de executante de mandados se constituiria em um </w:t>
      </w:r>
      <w:r>
        <w:rPr>
          <w:rFonts w:ascii="Times New Roman" w:hAnsi="Times New Roman" w:cs="Times New Roman"/>
          <w:i/>
          <w:sz w:val="26"/>
          <w:szCs w:val="26"/>
        </w:rPr>
        <w:t>bis in idem</w:t>
      </w:r>
      <w:r>
        <w:rPr>
          <w:rFonts w:ascii="Times New Roman" w:hAnsi="Times New Roman" w:cs="Times New Roman"/>
          <w:sz w:val="26"/>
          <w:szCs w:val="26"/>
        </w:rPr>
        <w:t>, pois o cargo de oficial de justiça já é remunerado para executar mandados, por tratar-se de atribuição inerente ao cargo”.</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Diversamente do aduzido pela Corte de Contas, portanto, a retribuição discutida guardava, sim, o necessário elemento da fidúcia, que </w:t>
      </w:r>
      <w:r>
        <w:rPr>
          <w:rFonts w:ascii="Times New Roman" w:hAnsi="Times New Roman" w:cs="Times New Roman"/>
          <w:b/>
          <w:sz w:val="26"/>
          <w:szCs w:val="26"/>
        </w:rPr>
        <w:t>não lhe conferia o caráter geral e abstrato que pretende a decisão</w:t>
      </w:r>
      <w:r>
        <w:rPr>
          <w:rFonts w:ascii="Times New Roman" w:hAnsi="Times New Roman" w:cs="Times New Roman"/>
          <w:sz w:val="26"/>
          <w:szCs w:val="26"/>
        </w:rPr>
        <w:t>, como já havia admitido antes, a fim de descaracterizar a função e, com isso, rever as incorporações realizadas há mais de vinte anos.</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Cabe observar que, por força da Lei nº 8.868, de 1994, a Gratificação de Representação de Gabinete e as Funções Comissionadas foram substituídas pela Função Comissionada (FC-05), conforme dispõe o artigo 11</w:t>
      </w:r>
      <w:r>
        <w:rPr>
          <w:rStyle w:val="FootnoteReference"/>
          <w:rFonts w:ascii="Times New Roman" w:hAnsi="Times New Roman"/>
          <w:sz w:val="26"/>
          <w:szCs w:val="26"/>
        </w:rPr>
        <w:footnoteReference w:id="5"/>
      </w:r>
      <w:r>
        <w:rPr>
          <w:rFonts w:ascii="Times New Roman" w:hAnsi="Times New Roman" w:cs="Times New Roman"/>
          <w:sz w:val="26"/>
          <w:szCs w:val="26"/>
        </w:rPr>
        <w:t>.</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vigente artigo 62 da Lei nº 8.112, de 1990, na Lei nº 8.911, de 1994, e na Lei nº 9.421, de 1996, sendo que esta última estabelecia:</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Art. 15. Aos servidores das carreiras judiciárias, ocupantes de Função Comissionada, </w:t>
      </w:r>
      <w:r>
        <w:rPr>
          <w:rFonts w:ascii="Times New Roman" w:hAnsi="Times New Roman" w:cs="Times New Roman"/>
          <w:b/>
        </w:rPr>
        <w:t>aplica-se a legislação geral de incorporação de parcela mensal da remuneração de cargo em comissão ou função de confiança.</w:t>
      </w:r>
      <w:r>
        <w:rPr>
          <w:rFonts w:ascii="Times New Roman" w:hAnsi="Times New Roman" w:cs="Times New Roman"/>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w:t>
      </w:r>
    </w:p>
    <w:p w:rsidR="008F6CA3" w:rsidRDefault="008F6CA3" w:rsidP="00696F57">
      <w:pPr>
        <w:spacing w:line="240" w:lineRule="auto"/>
        <w:ind w:left="1695" w:right="15"/>
        <w:jc w:val="both"/>
        <w:rPr>
          <w:rFonts w:ascii="Quattrocento Sans" w:hAnsi="Quattrocento Sans" w:cs="Quattrocento Sans"/>
          <w:sz w:val="18"/>
          <w:szCs w:val="18"/>
        </w:rPr>
      </w:pPr>
      <w:r>
        <w:rPr>
          <w:rFonts w:ascii="Times New Roman" w:hAnsi="Times New Roman" w:cs="Times New Roman"/>
        </w:rPr>
        <w:t>§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(grifou-se)</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Logo, é equivocada a conclusão a que chegou o Tribunal de Contas da União no Acórdão nº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Assim, é possível demonstrar que, em realidade, a função desempenhada pelos servidores se enquadrava na hipótese legal, tendo ele preenchido os requisitos temporais necessários à incorporação (fato não controvertido), de modo que é devida a incorporação das parcelas. Veja-se que esta incorporação foi resultado de atos praticados </w:t>
      </w:r>
      <w:r>
        <w:rPr>
          <w:rFonts w:ascii="Times New Roman" w:hAnsi="Times New Roman" w:cs="Times New Roman"/>
          <w:b/>
          <w:sz w:val="26"/>
          <w:szCs w:val="26"/>
        </w:rPr>
        <w:t>há mais de 5 anos</w:t>
      </w:r>
      <w:r>
        <w:rPr>
          <w:rFonts w:ascii="Times New Roman" w:hAnsi="Times New Roman" w:cs="Times New Roman"/>
          <w:sz w:val="26"/>
          <w:szCs w:val="26"/>
        </w:rPr>
        <w:t>, estando incorporada ao patrimônio jurídico do servidor, inclusive com decadência para a Administração rever tal ato.</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Sendo devida a incorporação, é inegável que a tentativa da Administração viola o disposto no artigo 3º da Lei 8.911, de 1994</w:t>
      </w:r>
      <w:r>
        <w:rPr>
          <w:rFonts w:ascii="Times New Roman" w:hAnsi="Times New Roman" w:cs="Times New Roman"/>
          <w:sz w:val="24"/>
          <w:szCs w:val="24"/>
          <w:vertAlign w:val="superscript"/>
        </w:rPr>
        <w:footnoteReference w:id="6"/>
      </w:r>
      <w:r>
        <w:rPr>
          <w:rFonts w:ascii="Times New Roman" w:hAnsi="Times New Roman" w:cs="Times New Roman"/>
          <w:sz w:val="26"/>
          <w:szCs w:val="26"/>
        </w:rPr>
        <w:t>; o disposto no artigo 62, § 2º, da Lei 8.112, de 1990, na redação vigente até 1997</w:t>
      </w:r>
      <w:r>
        <w:rPr>
          <w:rFonts w:ascii="Times New Roman" w:hAnsi="Times New Roman" w:cs="Times New Roman"/>
          <w:sz w:val="24"/>
          <w:szCs w:val="24"/>
          <w:vertAlign w:val="superscript"/>
        </w:rPr>
        <w:footnoteReference w:id="7"/>
      </w:r>
      <w:r>
        <w:rPr>
          <w:rFonts w:ascii="Times New Roman" w:hAnsi="Times New Roman" w:cs="Times New Roman"/>
          <w:sz w:val="26"/>
          <w:szCs w:val="26"/>
        </w:rPr>
        <w:t>; o disposto no art. 15 da Lei nº 9.421, de 1996</w:t>
      </w:r>
      <w:r>
        <w:rPr>
          <w:rFonts w:ascii="Times New Roman" w:hAnsi="Times New Roman" w:cs="Times New Roman"/>
          <w:sz w:val="24"/>
          <w:szCs w:val="24"/>
          <w:vertAlign w:val="superscript"/>
        </w:rPr>
        <w:footnoteReference w:id="8"/>
      </w:r>
      <w:r>
        <w:rPr>
          <w:rFonts w:ascii="Times New Roman" w:hAnsi="Times New Roman" w:cs="Times New Roman"/>
          <w:sz w:val="26"/>
          <w:szCs w:val="26"/>
        </w:rPr>
        <w:t>, disposições legais plenamente válidas, que embasaram a concessão dos quintos aos servidores. Viola, por conseguinte, o princípio da legalidade, inserto no art. 5º, II, e 37, </w:t>
      </w:r>
      <w:r>
        <w:rPr>
          <w:rFonts w:ascii="Times New Roman" w:hAnsi="Times New Roman" w:cs="Times New Roman"/>
          <w:i/>
          <w:sz w:val="26"/>
          <w:szCs w:val="26"/>
        </w:rPr>
        <w:t>caput</w:t>
      </w:r>
      <w:r>
        <w:rPr>
          <w:rFonts w:ascii="Times New Roman" w:hAnsi="Times New Roman" w:cs="Times New Roman"/>
          <w:sz w:val="26"/>
          <w:szCs w:val="26"/>
        </w:rPr>
        <w:t>, da Constituição Federal</w:t>
      </w:r>
      <w:r>
        <w:rPr>
          <w:rFonts w:ascii="Times New Roman" w:hAnsi="Times New Roman" w:cs="Times New Roman"/>
          <w:sz w:val="24"/>
          <w:szCs w:val="24"/>
          <w:vertAlign w:val="superscript"/>
        </w:rPr>
        <w:footnoteReference w:id="9"/>
      </w:r>
      <w:r>
        <w:rPr>
          <w:rFonts w:ascii="Times New Roman" w:hAnsi="Times New Roman" w:cs="Times New Roman"/>
          <w:sz w:val="26"/>
          <w:szCs w:val="26"/>
        </w:rPr>
        <w:t>, devendo ser garantido o pagamento de ambas as parcelas.</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right="150"/>
        <w:jc w:val="both"/>
        <w:rPr>
          <w:rFonts w:ascii="Quattrocento Sans" w:hAnsi="Quattrocento Sans" w:cs="Quattrocento Sans"/>
          <w:sz w:val="18"/>
          <w:szCs w:val="18"/>
        </w:rPr>
      </w:pPr>
      <w:r>
        <w:rPr>
          <w:rFonts w:ascii="Times New Roman" w:hAnsi="Times New Roman" w:cs="Times New Roman"/>
          <w:b/>
          <w:sz w:val="26"/>
          <w:szCs w:val="26"/>
        </w:rPr>
        <w:t>2.2. </w:t>
      </w:r>
      <w:r>
        <w:rPr>
          <w:rFonts w:ascii="Times New Roman" w:hAnsi="Times New Roman" w:cs="Times New Roman"/>
          <w:b/>
          <w:sz w:val="26"/>
          <w:szCs w:val="26"/>
          <w:u w:val="single"/>
        </w:rPr>
        <w:t>Do direito à Gratificação de Atividade Externa: pagamento cumulativo</w:t>
      </w:r>
      <w:r>
        <w:rPr>
          <w:rFonts w:ascii="Times New Roman" w:hAnsi="Times New Roman" w:cs="Times New Roman"/>
          <w:sz w:val="26"/>
          <w:szCs w:val="26"/>
        </w:rPr>
        <w:t> </w:t>
      </w:r>
    </w:p>
    <w:p w:rsidR="008F6CA3" w:rsidRDefault="008F6CA3" w:rsidP="00696F57">
      <w:pPr>
        <w:spacing w:line="240" w:lineRule="auto"/>
        <w:ind w:right="150" w:firstLine="1701"/>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A Lei n</w:t>
      </w:r>
      <w:r>
        <w:rPr>
          <w:rFonts w:ascii="Times New Roman" w:hAnsi="Times New Roman" w:cs="Times New Roman"/>
          <w:sz w:val="28"/>
          <w:szCs w:val="28"/>
        </w:rPr>
        <w:t>º</w:t>
      </w:r>
      <w:r>
        <w:rPr>
          <w:rFonts w:ascii="Times New Roman" w:hAnsi="Times New Roman" w:cs="Times New Roman"/>
          <w:sz w:val="26"/>
          <w:szCs w:val="26"/>
        </w:rPr>
        <w:t xml:space="preserve"> 11.416, de 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16.  Fica instituída a Gratificação de Atividade Externa – GAE, devida exclusivamente aos ocupantes do cargo de Analista Judiciário referidos no § 1º do art. 4º desta Lei.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1º A gratificação de que trata este artigo corresponde a 35% (trinta e cinco por cento) do vencimento básico do servidor.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2º É vedada a percepção da gratificação prevista neste artigo pelo servidor designado para o exercício de função comissionada ou nomeado para cargo em comissão.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Dessa forma, a Lei nº 11.416, de 2006, instituiu a Gratificação de Atividade Externa, de natureza </w:t>
      </w:r>
      <w:r>
        <w:rPr>
          <w:rFonts w:ascii="Times New Roman" w:hAnsi="Times New Roman" w:cs="Times New Roman"/>
          <w:i/>
          <w:sz w:val="26"/>
          <w:szCs w:val="26"/>
        </w:rPr>
        <w:t>propter laborem</w:t>
      </w:r>
      <w:r>
        <w:rPr>
          <w:rFonts w:ascii="Times New Roman" w:hAnsi="Times New Roman" w:cs="Times New Roman"/>
          <w:sz w:val="26"/>
          <w:szCs w:val="26"/>
        </w:rPr>
        <w:t>, como vantagem integrante da estrutura remuneratória do cargo de provimento efetivo de Oficial de Justiça Avaliador Federal, sem natureza de função comissionada, vez que independe de qualquer juízo de discricionariedade na sua concessão.</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O simples exercício das atribuições do cargo, pelo servidor, faz surgir o direito subjetivo à percepção da vantagem, que inclusive deve também integrar seus futuros proventos de aposentadorias que devam ser calculados com base na totalidade da remuneração do cargo efetivo, até porque, dada a sua natureza remuneratória, a parcela integra a remuneração contributiva utilizada no cálculo dos proventos.</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Desse modo, em razão da entrada em vigor da Lei nº 11.416, de 2006, em 15 de dezembro de 2007, os Oficiais de Justiça passaram a fazer jus à Gratificação de Atividade Externa, sendo esta implementada também na remuneração dos servidores que possuíam VPNI oriunda de quintos incorporados.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Deve-se observar que, em razão da imposição contida no § 3º do artigo 30 da mesma lei, foi concedida a possibilidade de que os servidores investidos em funções realizassem a opção pela continuidade do pagamento dessas, até que a Gratificação de Atividade Externa fosse integralizada, o que ocorreu em </w:t>
      </w:r>
      <w:r>
        <w:rPr>
          <w:rFonts w:ascii="Times New Roman" w:hAnsi="Times New Roman" w:cs="Times New Roman"/>
          <w:b/>
          <w:sz w:val="26"/>
          <w:szCs w:val="26"/>
        </w:rPr>
        <w:t>dezembro de 2008</w:t>
      </w:r>
      <w:r>
        <w:rPr>
          <w:rFonts w:ascii="Times New Roman" w:hAnsi="Times New Roman" w:cs="Times New Roman"/>
          <w:b/>
          <w:sz w:val="26"/>
          <w:szCs w:val="26"/>
          <w:vertAlign w:val="superscript"/>
        </w:rPr>
        <w:footnoteReference w:id="10"/>
      </w:r>
      <w:r>
        <w:rPr>
          <w:rFonts w:ascii="Times New Roman" w:hAnsi="Times New Roman" w:cs="Times New Roman"/>
          <w:sz w:val="26"/>
          <w:szCs w:val="26"/>
        </w:rPr>
        <w:t>.</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Por conseguinte, os servidores recebem a GAE por um período superior há 5 anos, </w:t>
      </w:r>
      <w:r>
        <w:rPr>
          <w:rFonts w:ascii="Times New Roman" w:hAnsi="Times New Roman" w:cs="Times New Roman"/>
          <w:b/>
          <w:sz w:val="26"/>
          <w:szCs w:val="26"/>
        </w:rPr>
        <w:t>de forma contínua e ininterrupta, cumulativamente com a VPNI</w:t>
      </w:r>
      <w:r>
        <w:rPr>
          <w:rFonts w:ascii="Times New Roman" w:hAnsi="Times New Roman" w:cs="Times New Roman"/>
          <w:sz w:val="26"/>
          <w:szCs w:val="26"/>
        </w:rPr>
        <w:t>.</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Tem-se, de igual modo, que a legislação em vigor desde a instituição da GAE, em nenhum momento vedou o pagamento cumulativo das vantagens, as quais, como já se viu, ostentam naturezas distintas, não se configurando o suposto </w:t>
      </w:r>
      <w:r>
        <w:rPr>
          <w:rFonts w:ascii="Times New Roman" w:hAnsi="Times New Roman" w:cs="Times New Roman"/>
          <w:i/>
          <w:sz w:val="26"/>
          <w:szCs w:val="26"/>
        </w:rPr>
        <w:t>bis in idem</w:t>
      </w:r>
      <w:r>
        <w:rPr>
          <w:rFonts w:ascii="Times New Roman" w:hAnsi="Times New Roman" w:cs="Times New Roman"/>
          <w:sz w:val="26"/>
          <w:szCs w:val="26"/>
        </w:rPr>
        <w:t xml:space="preserve"> invocado na decisão da Corte de Contas.</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Todavia, argumenta a Corte de Contas que, mesmo na hipótese de se tratar de parcelas de natureza distinta, haveria vedação legal ao pagamento cumulativo da Gratificação de Atividade Externa àqueles servidores que ocupassem função comissionada.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Tal entendimento não prospera. Isso porque o § 2º do artigo 16 veda apenas o pagamento da GAE para quem estiver “</w:t>
      </w:r>
      <w:r>
        <w:rPr>
          <w:rFonts w:ascii="Times New Roman" w:hAnsi="Times New Roman" w:cs="Times New Roman"/>
          <w:b/>
          <w:sz w:val="26"/>
          <w:szCs w:val="26"/>
        </w:rPr>
        <w:t>no exercício</w:t>
      </w:r>
      <w:r>
        <w:rPr>
          <w:rFonts w:ascii="Times New Roman" w:hAnsi="Times New Roman" w:cs="Times New Roman"/>
          <w:sz w:val="26"/>
          <w:szCs w:val="26"/>
        </w:rPr>
        <w:t xml:space="preserve">” de função comissionada, e a razão é bastante simples: se estiver no desempenho de função comissionada, não estará na atividade externa que suscita a GAE (caso de assessoria em gabinete, por exemplo). Em resumo, </w:t>
      </w:r>
      <w:r>
        <w:rPr>
          <w:rFonts w:ascii="Times New Roman" w:hAnsi="Times New Roman" w:cs="Times New Roman"/>
          <w:b/>
          <w:sz w:val="26"/>
          <w:szCs w:val="26"/>
        </w:rPr>
        <w:t>a restrição se dirige apenas ao exercício</w:t>
      </w:r>
      <w:r>
        <w:rPr>
          <w:rFonts w:ascii="Times New Roman" w:hAnsi="Times New Roman" w:cs="Times New Roman"/>
          <w:sz w:val="26"/>
          <w:szCs w:val="26"/>
        </w:rPr>
        <w:t xml:space="preserve"> – </w:t>
      </w:r>
      <w:r>
        <w:rPr>
          <w:rFonts w:ascii="Times New Roman" w:hAnsi="Times New Roman" w:cs="Times New Roman"/>
          <w:b/>
          <w:sz w:val="26"/>
          <w:szCs w:val="26"/>
        </w:rPr>
        <w:t>na atividade</w:t>
      </w:r>
      <w:r>
        <w:rPr>
          <w:rFonts w:ascii="Times New Roman" w:hAnsi="Times New Roman" w:cs="Times New Roman"/>
          <w:sz w:val="26"/>
          <w:szCs w:val="26"/>
        </w:rPr>
        <w:t xml:space="preserve"> – de FC ou CJ concomitante com a função de oficial de justiça, a partir da integralização da GAE.</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Frente a isso, se quisesse o legislador restringir o direito à GAE nas hipóteses em que os servidores possuem parcelas de função incorporadas, deveria tê-lo feito expressamente, não sendo possível a interpretação extensiva da norma que restringe direito, mormente quando implique em alteração de situações constituídas há mais de 5 anos como ocorre no caso da GAE e da VPNI paga aos Oficiais.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 xml:space="preserve">É com base nesses argumentos que se defende que não há nenhum óbice legal à acumulação das parcelas, bem como ambas compõem legalmente a remuneração dos Oficiais de Justiça e, consequentemente, devem compor futuramente o cálculo dos seus proventos de aposentadoria, sempre que a regra constitucional aplicável determinar o cálculo com base na totalidade da remuneração. </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É com esse entendimento, de que é possível a cumulação da GAE com a VPNI incorporada dos quintos, que a Justiça Federal do Estado do Ceará tem deferido os pedidos de alguns servidores para que a rubrica VPNI seja restabelecida nos proventos daqueles que a tiveram ilegalmente suprimida, já que a cumulação é possível tanto na atividade como nos proventos. Essas decisões ainda vêm sendo confirmadas pelas Turmas Recursais.</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A título exemplificativo, podem ser mencionadas as decisões proferidas nos processos 0520528-39.2018.4.05.8100T, 0520587-27.2018.4.05.8100S e 0519577-45.2018.4.05.8100T (anexo 4), onde foi considerado que a GAE possui vedação legal para percepção durante efetivo exercício de função comissionada ou cargo em comissão, enquanto a VPNI possui natureza derivada de função comissionada, mas como já foi incorporada antes da criação da GAE, não se configura como exercício de função comissionada e, devido a isso, é possível a cumulação das duas rubricas:</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 xml:space="preserve">(...) Assim, entendo que o teor da Lei é cristalino quando veda a cumulação da GAE com o </w:t>
      </w:r>
      <w:r>
        <w:rPr>
          <w:rFonts w:ascii="Times New Roman" w:hAnsi="Times New Roman" w:cs="Times New Roman"/>
          <w:b/>
        </w:rPr>
        <w:t xml:space="preserve">exercício </w:t>
      </w:r>
      <w:r>
        <w:rPr>
          <w:rFonts w:ascii="Times New Roman" w:hAnsi="Times New Roman" w:cs="Times New Roman"/>
        </w:rPr>
        <w:t>de função comissionada/cargo em comissão. De mesmo modo, a Portaria Conjunta, editada para regulamentar a Lei n. 11.416, estabelece a proibição em comento nos casos em que o servidor está em exercício da função comissionada/cargo em comissão.</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Nesse contexto, não há outro limitante para a percepção da GAE: cumpridos os requisitos e não estando o servidor em exercício de função comissionada ou cargo em comissão, poderá receber a gratificação. Caso contrário, não poderá acumular ambas, sendo-lhe facultado optar por uma delas.</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b/>
          <w:u w:val="single"/>
        </w:rPr>
        <w:t>No particular</w:t>
      </w:r>
      <w:r>
        <w:rPr>
          <w:rFonts w:ascii="Times New Roman" w:hAnsi="Times New Roman" w:cs="Times New Roman"/>
        </w:rPr>
        <w:t>, é de se esclarecer que a transformação dos quintos/décimos incorporados em VPNI não afasta a origem das parcelas; ou seja, a VPNI resultante da transformação de quintos/Décimos incorporados, decorre, na verdade, de nomeação a exercício de função gratificada/comissionada que originou o pagamento da respectiva verba.</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Ocorre que, de acordo com os documentos contidos nos autos, a incorporação das funções por parte do autor ocorreu no ano de 1997.(...)</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 xml:space="preserve">Diante do exposto, </w:t>
      </w:r>
      <w:r>
        <w:rPr>
          <w:rFonts w:ascii="Times New Roman" w:hAnsi="Times New Roman" w:cs="Times New Roman"/>
          <w:b/>
        </w:rPr>
        <w:t>JULGO PROCEDENTE</w:t>
      </w:r>
      <w:r>
        <w:rPr>
          <w:rFonts w:ascii="Times New Roman" w:hAnsi="Times New Roman" w:cs="Times New Roman"/>
        </w:rPr>
        <w:t xml:space="preserve"> o pedido da parte autora, para condenar a União: </w:t>
      </w:r>
      <w:r>
        <w:rPr>
          <w:rFonts w:ascii="Times New Roman" w:hAnsi="Times New Roman" w:cs="Times New Roman"/>
          <w:b/>
        </w:rPr>
        <w:t>(a) IMPLANTAR/RESTABELECER</w:t>
      </w:r>
      <w:r>
        <w:rPr>
          <w:rFonts w:ascii="Times New Roman" w:hAnsi="Times New Roman" w:cs="Times New Roman"/>
        </w:rPr>
        <w:t xml:space="preserve"> (obrigação de fazer) o pagamento da VPNI (Lei n. 9.527/97) nos proventos da parte autora; (...)</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(Sentença. 0520528-39.2018.4.05.8100T. Juiz Federal da 28ª Vara José Maximiliano Machado Cavalcanti. 29/11/2019.)</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Calibri"/>
          <w:sz w:val="26"/>
          <w:szCs w:val="26"/>
          <w:lang w:eastAsia="ar-SA"/>
        </w:rPr>
      </w:pPr>
      <w:r>
        <w:rPr>
          <w:rFonts w:ascii="Times New Roman" w:hAnsi="Times New Roman"/>
          <w:sz w:val="26"/>
          <w:szCs w:val="26"/>
        </w:rPr>
        <w:t>Antes, o Tribunal Regional Federal da 2ª Região, em acórdão que está prestes a transitar em julgado, reconheceu o direito dos servidores da Justiça Federal no Estado do Rio de Janeiro à cumulação das parcelas, cujo julgado segue parcialmente transcrito:</w:t>
      </w:r>
    </w:p>
    <w:p w:rsidR="008F6CA3" w:rsidRDefault="008F6CA3" w:rsidP="00696F57">
      <w:pPr>
        <w:spacing w:line="240" w:lineRule="auto"/>
        <w:ind w:firstLine="1695"/>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rPr>
        <w:t xml:space="preserve">ADMINISTRATIVO.  SERVIDOR  CIVIL.  GAE  E  VPNI.  NATUREZAS DISTINTAS. CUMULAÇÃO. POSSIBILIDADE. SEGURANÇA JURÍDICA. RECURSO PROVIDO. </w:t>
      </w:r>
    </w:p>
    <w:p w:rsidR="008F6CA3" w:rsidRDefault="008F6CA3" w:rsidP="00696F57">
      <w:pPr>
        <w:spacing w:line="240" w:lineRule="auto"/>
        <w:ind w:left="1701"/>
        <w:jc w:val="both"/>
        <w:rPr>
          <w:rFonts w:ascii="Times New Roman" w:hAnsi="Times New Roman"/>
        </w:rPr>
      </w:pPr>
      <w:r>
        <w:rPr>
          <w:rFonts w:ascii="Times New Roman" w:hAnsi="Times New Roman"/>
        </w:rPr>
        <w:t>(...) Em recente julgado, o Supremo Tribunal Federal, por ocasião da apreciação da Medida Cautelar no MS: 35193 DF, deferiu liminar, adotando posicionamento no sentido da possibilidade de cumulação das verbas em questão, VPNI e GAJ, tendo em vista os princípios da segurança jurídica, bem como o da legítima confiança. 4.  Ademais, a condicionante imposta pelas autoridades coatoras aos servidores para o exercício do direito à aposentadoria representa uma medida contrária aos princípios norteadores do ordenamento jurídico, pois além de violar a segurança jurídica consubstanciada por anos de percepção de verbas supostamente de natureza idêntica, restringe o direito à aposentadoria desproporcionalmente, de forma arbitrária, tendo em vista a aplicabilidade do entendimento proferido pelo Acórdão 2.784/2016  do  TCU,  que  não  possui  força  vinculante,  sem  oportunizar  o oferecimento do contraditório e da ampla defesa aos substituídos. 5.  Há que se destacar que a lei instituidora da gratificação em comento, Lei 11.416/2006, não fez qualquer restrição em relação aos servidores que percebiam outras gratificações e, onde a lei não restringiu, não cabe ao intérprete do direito fazê-lo, principalmente para reduzir direitos. Logo, cabível a percepção conjunta da GAE com a VPNI, relativa à incorporação dos quintos. 6. Apelação provida, para determinar que as autoridades coatoras se eximam de exigir a opção por parte dos substituídos, reconhecendo-lhes o direito à cumulação da GAE com a VPNI, conforme pleiteado na inicial.</w:t>
      </w:r>
    </w:p>
    <w:p w:rsidR="008F6CA3" w:rsidRDefault="008F6CA3" w:rsidP="00696F57">
      <w:pPr>
        <w:spacing w:line="240" w:lineRule="auto"/>
        <w:ind w:left="1701"/>
        <w:jc w:val="both"/>
        <w:rPr>
          <w:rFonts w:ascii="Times New Roman" w:hAnsi="Times New Roman"/>
        </w:rPr>
      </w:pPr>
      <w:r>
        <w:rPr>
          <w:rFonts w:ascii="Times New Roman" w:hAnsi="Times New Roman"/>
        </w:rPr>
        <w:t>(Processo n° 0098714-30.2017.4.02.5101. 5ª Turma Especializada do Tribunal Regional Federal da 2ª Região. 29/05/2018)</w:t>
      </w:r>
    </w:p>
    <w:p w:rsidR="008F6CA3" w:rsidRDefault="008F6CA3" w:rsidP="00696F57">
      <w:pPr>
        <w:spacing w:line="240" w:lineRule="auto"/>
        <w:ind w:left="1701"/>
        <w:jc w:val="both"/>
        <w:rPr>
          <w:rFonts w:ascii="Times New Roman" w:hAnsi="Times New Roman"/>
          <w:sz w:val="26"/>
          <w:szCs w:val="26"/>
        </w:rPr>
      </w:pPr>
    </w:p>
    <w:p w:rsidR="008F6CA3" w:rsidRDefault="008F6CA3" w:rsidP="00696F57">
      <w:pPr>
        <w:spacing w:line="240" w:lineRule="auto"/>
        <w:ind w:firstLine="1695"/>
        <w:jc w:val="both"/>
        <w:rPr>
          <w:rFonts w:ascii="Times New Roman" w:hAnsi="Times New Roman"/>
          <w:sz w:val="26"/>
          <w:szCs w:val="26"/>
        </w:rPr>
      </w:pPr>
      <w:r>
        <w:rPr>
          <w:rFonts w:ascii="Times New Roman" w:hAnsi="Times New Roman"/>
          <w:sz w:val="26"/>
          <w:szCs w:val="26"/>
        </w:rPr>
        <w:t>No processo em questão, recentemente, o Superior Tribunal de Justiça negou provimento ao agravo da decisão que não admitiu o recurso especial interposto pela União (anexo 5), pois não houve impugnação da totalidade dos fundamentos da decisão, estando em vias de transitar em julgado o referido precedente.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Deve-se observar ainda que, no que se refere aos futuros proventos, conforme entendimento recente do Supremo Tribunal Federal no Recurso Extraordinário 593.068, há contribuição previdenciária apenas sobre as parcelas que se incorporam à aposentadoria e, como no caso concreto houve o desconto sobre ambas as parcelas, ambas devem ter repercussão sobre os proventos do servidor:</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sz w:val="20"/>
          <w:szCs w:val="20"/>
        </w:rPr>
        <w:t xml:space="preserve">DIREITO PREVIDENCIÁRIO. </w:t>
      </w:r>
      <w:r>
        <w:rPr>
          <w:rFonts w:ascii="Times New Roman" w:hAnsi="Times New Roman" w:cs="Times New Roman"/>
          <w:b/>
          <w:sz w:val="20"/>
          <w:szCs w:val="20"/>
        </w:rPr>
        <w:t>RECURSO EXTRAORDINÁRIO COM REPERCUSSÃO GERAL</w:t>
      </w:r>
      <w:r>
        <w:rPr>
          <w:rFonts w:ascii="Times New Roman" w:hAnsi="Times New Roman" w:cs="Times New Roman"/>
          <w:sz w:val="20"/>
          <w:szCs w:val="20"/>
        </w:rPr>
        <w:t xml:space="preserve">. REGIME PRÓPRIO DOS SERVIDORES PÚBLICOS. </w:t>
      </w:r>
      <w:r>
        <w:rPr>
          <w:rFonts w:ascii="Times New Roman" w:hAnsi="Times New Roman" w:cs="Times New Roman"/>
          <w:b/>
          <w:sz w:val="20"/>
          <w:szCs w:val="20"/>
        </w:rPr>
        <w:t>NÃO INCIDÊNCIA DE CONTRIBUIÇÕES PREVIDENCIÁRIAS SOBRE PARCELAS NÃO INCORPORÁVEIS À APOSENTADORIA</w:t>
      </w:r>
      <w:r>
        <w:rPr>
          <w:rFonts w:ascii="Times New Roman" w:hAnsi="Times New Roman" w:cs="Times New Roman"/>
          <w:sz w:val="20"/>
          <w:szCs w:val="20"/>
        </w:rPr>
        <w:t>.</w:t>
      </w:r>
      <w:r>
        <w:rPr>
          <w:rFonts w:ascii="Times New Roman" w:hAnsi="Times New Roman" w:cs="Times New Roman"/>
        </w:rPr>
        <w:t xml:space="preserve"> (...)</w:t>
      </w:r>
    </w:p>
    <w:p w:rsidR="008F6CA3" w:rsidRDefault="008F6CA3" w:rsidP="00696F57">
      <w:pPr>
        <w:spacing w:line="240" w:lineRule="auto"/>
        <w:ind w:left="1701"/>
        <w:jc w:val="both"/>
        <w:rPr>
          <w:rFonts w:ascii="Times New Roman" w:hAnsi="Times New Roman" w:cs="Times New Roman"/>
          <w:b/>
        </w:rPr>
      </w:pPr>
      <w:r>
        <w:rPr>
          <w:rFonts w:ascii="Times New Roman" w:hAnsi="Times New Roman" w:cs="Times New Roman"/>
          <w:b/>
        </w:rPr>
        <w:t xml:space="preserve">3. Ademais, a dimensão contributiva do sistema é incompatível com a cobrança de contribuição previdenciária sem que se confira ao segurado qualquer benefício, efetivo ou potencial. </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ml:space="preserve">4. Por fim, não é possível invocar o princípio da solidariedade para inovar no tocante à regra que estabelece a base econômica do tributo. </w:t>
      </w:r>
    </w:p>
    <w:p w:rsidR="008F6CA3" w:rsidRDefault="008F6CA3" w:rsidP="00696F57">
      <w:pPr>
        <w:spacing w:line="240" w:lineRule="auto"/>
        <w:ind w:left="1701"/>
        <w:jc w:val="both"/>
        <w:rPr>
          <w:rFonts w:ascii="Times New Roman" w:hAnsi="Times New Roman" w:cs="Times New Roman"/>
          <w:b/>
        </w:rPr>
      </w:pPr>
      <w:r>
        <w:rPr>
          <w:rFonts w:ascii="Times New Roman" w:hAnsi="Times New Roman" w:cs="Times New Roman"/>
        </w:rPr>
        <w:t xml:space="preserve">5. À luz das premissas estabelecidas, é fixada em repercussão geral a seguinte </w:t>
      </w:r>
      <w:r>
        <w:rPr>
          <w:rFonts w:ascii="Times New Roman" w:hAnsi="Times New Roman" w:cs="Times New Roman"/>
          <w:b/>
        </w:rPr>
        <w:t>tese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b/>
          <w:i/>
        </w:rPr>
        <w:t>Não incide contribuição previdenciária sobre verba não incorporável aos proventos de aposentadoria do servidor público, tais como ‘terço de férias’, ‘serviços extraordinários’, ‘adicional noturno’ e ‘adicional de insalubridade</w:t>
      </w:r>
      <w:r>
        <w:rPr>
          <w:rFonts w:ascii="Times New Roman" w:hAnsi="Times New Roman" w:cs="Times New Roman"/>
        </w:rPr>
        <w:t>.” 6. Provimento parcial do recurso extraordinário, para determinar a restituição das parcelas não prescritas. (grifou-se)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Com efeito, se houve a incidência de contribuição previdenciária sobre ambas as parcelas, deve haver a incorporação aos proventos de aposentadoria,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sz w:val="26"/>
          <w:szCs w:val="26"/>
        </w:rPr>
      </w:pPr>
      <w:r>
        <w:rPr>
          <w:rFonts w:ascii="Times New Roman" w:hAnsi="Times New Roman" w:cs="Times New Roman"/>
        </w:rPr>
        <w:t xml:space="preserve">(...) Assim, o caráter solidário do sistema afasta a existência de uma simetria perfeita entre contribuição e benefício (como em um sinalagma), enquanto a natureza contributiva </w:t>
      </w:r>
      <w:r>
        <w:rPr>
          <w:rFonts w:ascii="Times New Roman" w:hAnsi="Times New Roman" w:cs="Times New Roman"/>
          <w:b/>
        </w:rPr>
        <w:t xml:space="preserve">impede a cobrança de contribuição previdenciária sem que se confira ao segurado qualquer contraprestação, efetiva ou potencial </w:t>
      </w:r>
      <w:r>
        <w:rPr>
          <w:rFonts w:ascii="Times New Roman" w:hAnsi="Times New Roman" w:cs="Times New Roman"/>
        </w:rPr>
        <w:t>(grifou-se)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Calibri"/>
          <w:sz w:val="26"/>
          <w:szCs w:val="26"/>
          <w:lang w:eastAsia="ar-SA"/>
        </w:rPr>
      </w:pPr>
      <w:r>
        <w:rPr>
          <w:rFonts w:ascii="Times New Roman" w:hAnsi="Times New Roman"/>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r>
        <w:rPr>
          <w:rStyle w:val="FootnoteReference"/>
          <w:rFonts w:ascii="Times New Roman" w:hAnsi="Times New Roman" w:cs="Arial"/>
          <w:sz w:val="26"/>
          <w:szCs w:val="26"/>
        </w:rPr>
        <w:footnoteReference w:id="11"/>
      </w:r>
      <w:r>
        <w:rPr>
          <w:rFonts w:ascii="Times New Roman" w:hAnsi="Times New Roman"/>
          <w:sz w:val="26"/>
          <w:szCs w:val="26"/>
        </w:rPr>
        <w:t>:</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ml:space="preserve">(...) 23. É que a aludida parcela de VPNI, </w:t>
      </w:r>
      <w:r>
        <w:rPr>
          <w:rFonts w:ascii="Times New Roman" w:hAnsi="Times New Roman" w:cs="Times New Roman"/>
          <w:b/>
          <w:bCs/>
        </w:rPr>
        <w:t>diferentemente das funções comissionadas (de natureza transitória, somente percebida durante o exercício da função), se incorpora definitivamente ao patrimônio do servidor, compondo, em razão disso, os proventos da sua aposentadoria ou da pensão por ele instituída, no caso de morte</w:t>
      </w:r>
      <w:r>
        <w:rPr>
          <w:rFonts w:ascii="Times New Roman" w:hAnsi="Times New Roman" w:cs="Times New Roman"/>
        </w:rPr>
        <w:t>. Portanto, sobre tal parcela é devida a contribuição previdenciária, quer na vigência das Emendas Constitucionais ns. 20/1998 e 41/2003, quer antes dessas Emendas Constitucionais. (...)</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34. (...) Ou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(Processo 021.314/2007-1. Plenário do Tribunal de Contas da União, Acórdão 1.286/2008, Rel. Min. Marcos Bemquerer Costa, j. 02/07/2008)</w:t>
      </w:r>
    </w:p>
    <w:p w:rsidR="008F6CA3" w:rsidRDefault="008F6CA3" w:rsidP="00696F57">
      <w:pPr>
        <w:spacing w:line="240" w:lineRule="auto"/>
        <w:ind w:left="1701"/>
        <w:jc w:val="both"/>
        <w:rPr>
          <w:rFonts w:ascii="Times New Roman" w:hAnsi="Times New Roman" w:cs="Times New Roman"/>
        </w:rPr>
      </w:pPr>
    </w:p>
    <w:p w:rsidR="008F6CA3" w:rsidRDefault="008F6CA3" w:rsidP="00696F57">
      <w:pPr>
        <w:spacing w:line="240" w:lineRule="auto"/>
        <w:ind w:left="1701"/>
        <w:jc w:val="both"/>
        <w:rPr>
          <w:rFonts w:ascii="Times New Roman" w:hAnsi="Times New Roman" w:cs="Times New Roman"/>
          <w:b/>
          <w:bCs/>
        </w:rPr>
      </w:pPr>
      <w:r>
        <w:rPr>
          <w:rFonts w:ascii="Times New Roman" w:hAnsi="Times New Roman" w:cs="Times New Roman"/>
          <w:b/>
          <w:bCs/>
        </w:rPr>
        <w:t>A vantagem pessoal</w:t>
      </w:r>
      <w:r>
        <w:rPr>
          <w:rFonts w:ascii="Times New Roman" w:hAnsi="Times New Roman" w:cs="Times New Roman"/>
        </w:rPr>
        <w:t xml:space="preserve">, regularmente apostilada pelo exercício do cargo em comissão, </w:t>
      </w:r>
      <w:r>
        <w:rPr>
          <w:rFonts w:ascii="Times New Roman" w:hAnsi="Times New Roman" w:cs="Times New Roman"/>
          <w:b/>
          <w:bCs/>
        </w:rPr>
        <w:t>incorpora-se ao patrimônio do servidor, não podendo o percentual agregado ser suprimido sob pena de ofensa ao direito adquirido</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(Acórdão unânime da 2ª Turma do Supremo Tribunal Federal Agravo Regimental no Agravo de Instrumento 208.932-3-SC Relator: Ministro Maurício Corrêa, julgado em 21.08.2001) (grifou-se)</w:t>
      </w:r>
    </w:p>
    <w:p w:rsidR="008F6CA3" w:rsidRDefault="008F6CA3" w:rsidP="00696F57">
      <w:pPr>
        <w:spacing w:line="240" w:lineRule="auto"/>
        <w:ind w:left="1701"/>
        <w:jc w:val="both"/>
        <w:rPr>
          <w:rFonts w:ascii="Times New Roman" w:hAnsi="Times New Roman" w:cs="Times New Roman"/>
        </w:rPr>
      </w:pP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ml:space="preserve">(...) 1 - </w:t>
      </w:r>
      <w:r>
        <w:rPr>
          <w:rFonts w:ascii="Times New Roman" w:hAnsi="Times New Roman" w:cs="Times New Roman"/>
          <w:b/>
          <w:bCs/>
        </w:rPr>
        <w:t>Consoante uníssona jurisprudência desta Corte Superior</w:t>
      </w:r>
      <w:r>
        <w:rPr>
          <w:rFonts w:ascii="Times New Roman" w:hAnsi="Times New Roman" w:cs="Times New Roman"/>
        </w:rPr>
        <w:t xml:space="preserve">, através de suas 5ª e 6ª Turmas, competentes para julgar o tema (cf. entre outros, ROMS nºs 12.122/DF, 12.138/DF, 11.676/DF, 11.172/RS; e REsp nºs 254.709/DF, 396.791/DF, 275.189/DF), </w:t>
      </w:r>
      <w:r>
        <w:rPr>
          <w:rFonts w:ascii="Times New Roman" w:hAnsi="Times New Roman" w:cs="Times New Roman"/>
          <w:b/>
          <w:bCs/>
        </w:rPr>
        <w:t>os chamados "quintos", uma vez incorporados, tornam-se vantagens pessoais, não podendo mais ser retirados do patrimônio de seus beneficiários. (...)</w:t>
      </w:r>
      <w:r>
        <w:br/>
      </w:r>
      <w:r>
        <w:rPr>
          <w:rFonts w:ascii="Times New Roman" w:hAnsi="Times New Roman" w:cs="Times New Roman"/>
        </w:rPr>
        <w:t xml:space="preserve"> (STJ. 5ª Turma, RMS nº 13.299-DF, rel. Min. Jorge Scartezzini, DJ de 13-10-03, p. 378). (grifou-se)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Dessa forma, o princípio da legalidade é violado, vez que a opção imposta fere o disposto no artigo 16 da Lei nº 11.416, de 2006, assim como o disposto no artigo 28 da mesma lei, e ainda o disposto no artigo 4º, do Anexo II, da Portaria Conjunta nº 1/2007, disposições que asseguram tanto o recebimento da GAE como a sua inclusão nos proventos de aposentadoria, sem qualquer restrição quanto ao recebimento cumulativo com a VPNI. A incorporação da GAE já foi assinalada na jurisprudência do TCU:</w:t>
      </w:r>
    </w:p>
    <w:p w:rsidR="008F6CA3" w:rsidRDefault="008F6CA3" w:rsidP="00696F57">
      <w:pPr>
        <w:spacing w:line="240" w:lineRule="auto"/>
        <w:ind w:firstLine="1695"/>
        <w:jc w:val="center"/>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b/>
          <w:bCs/>
        </w:rPr>
      </w:pPr>
      <w:r>
        <w:rPr>
          <w:rFonts w:ascii="Times New Roman" w:hAnsi="Times New Roman" w:cs="Times New Roman"/>
        </w:rPr>
        <w:t>20. Esta unidade técnica mantém o entendimento exposto no Relatório de Auditoria, reafirmando que o servidor da carreira de Analista Judiciário, Área Judiciária – Execução de Mandados, designado para o exercício de função comissionada ou nomeado para cargo em comissão, deverá contribuir para o PSS também sobre o valor da GAE, mesmo estando impedido de recebê-la, por força do disposto no § 2º do art. 16 da Lei 11.416/2006. I</w:t>
      </w:r>
      <w:r>
        <w:rPr>
          <w:rFonts w:ascii="Times New Roman" w:hAnsi="Times New Roman" w:cs="Times New Roman"/>
          <w:b/>
          <w:bCs/>
        </w:rPr>
        <w:t>sso porque o valor da GAE integrará a remuneração contributiva para o cálculo dos proventos de aposentadoria do servidor por ocasião de sua concessão. Sendo assim, devem compor a base de cálculo do PSS todas as parcelas que integrarão o cálculo dos proventos de aposentadoria do servidor, inclusive a GAE, tanto para os servidores que têm direito à paridade quanto para aqueles que se aposentarão pela média.</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(Plenário do Tribunal de Contas da União Acórdão 2.880/2013 Relator: Ministro André Luís de Carvalho, julgado em 23.10.2013) (grifou-se)</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Veja-se que, em processos de outros Tribunais Regionais do Trabalho, como o processo 0007560-84.2019.5.10.8000, em trâmite no TRT-10, o Secretário de Auditoria e Controle Interno, no Despacho SECOI 1243511, constatou que, apesar do posicionamento do TCU, seria possível fixar entendimento no sentido de que a cumulação seria regular:</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left="1701" w:hanging="5"/>
        <w:jc w:val="both"/>
        <w:rPr>
          <w:rFonts w:ascii="Times New Roman" w:hAnsi="Times New Roman" w:cs="Times New Roman"/>
        </w:rPr>
      </w:pPr>
      <w:r>
        <w:rPr>
          <w:rFonts w:ascii="Times New Roman" w:hAnsi="Times New Roman" w:cs="Times New Roman"/>
        </w:rPr>
        <w:t xml:space="preserve">(...) Em sua cota necessária, a Assessoria da DIGER acompanha a tese apresentada pela SEGEP de que </w:t>
      </w:r>
      <w:r>
        <w:rPr>
          <w:rFonts w:ascii="Times New Roman" w:hAnsi="Times New Roman" w:cs="Times New Roman"/>
          <w:b/>
        </w:rPr>
        <w:t>o TCU insiste em confundir Função Comissionada/Cargos em Comissão, parcelas cuja percepção é vedada cumulativamente com a GAE, com a VPNI/Quintos para a qual não há qualquer vedação legal de recebimento</w:t>
      </w:r>
      <w:r>
        <w:rPr>
          <w:rFonts w:ascii="Times New Roman" w:hAnsi="Times New Roman" w:cs="Times New Roman"/>
        </w:rPr>
        <w:t xml:space="preserve"> pelos servidores ocupantes do cargo de Analista Judiciário, Área Judiciária, Especialidade Oficial de Justiça Avaliador Federal, seja na atividade ou mesmo na aposentadoria.</w:t>
      </w:r>
    </w:p>
    <w:p w:rsidR="008F6CA3" w:rsidRDefault="008F6CA3" w:rsidP="00696F57">
      <w:pPr>
        <w:spacing w:line="240" w:lineRule="auto"/>
        <w:ind w:left="1701" w:hanging="5"/>
        <w:jc w:val="both"/>
        <w:rPr>
          <w:rFonts w:ascii="Times New Roman" w:hAnsi="Times New Roman" w:cs="Times New Roman"/>
        </w:rPr>
      </w:pPr>
      <w:r>
        <w:rPr>
          <w:rFonts w:ascii="Times New Roman" w:hAnsi="Times New Roman" w:cs="Times New Roman"/>
        </w:rPr>
        <w:t>(...) Desta forma, emergem alguma possibilidades:</w:t>
      </w:r>
    </w:p>
    <w:p w:rsidR="008F6CA3" w:rsidRDefault="008F6CA3" w:rsidP="00696F57">
      <w:pPr>
        <w:spacing w:line="240" w:lineRule="auto"/>
        <w:ind w:left="1701" w:hanging="5"/>
        <w:jc w:val="both"/>
        <w:rPr>
          <w:rFonts w:ascii="Times New Roman" w:hAnsi="Times New Roman" w:cs="Times New Roman"/>
        </w:rPr>
      </w:pPr>
      <w:r>
        <w:rPr>
          <w:rFonts w:ascii="Times New Roman" w:hAnsi="Times New Roman" w:cs="Times New Roman"/>
        </w:rPr>
        <w:t>- Acatar o entendimento do TCU, autuando-se os processos e abrindo a possibilidade do exercício do devido processo legal;</w:t>
      </w:r>
    </w:p>
    <w:p w:rsidR="008F6CA3" w:rsidRDefault="008F6CA3" w:rsidP="00696F57">
      <w:pPr>
        <w:spacing w:line="240" w:lineRule="auto"/>
        <w:ind w:left="1701" w:hanging="5"/>
        <w:jc w:val="both"/>
        <w:rPr>
          <w:rFonts w:ascii="Times New Roman" w:hAnsi="Times New Roman" w:cs="Times New Roman"/>
        </w:rPr>
      </w:pPr>
      <w:r>
        <w:rPr>
          <w:rFonts w:ascii="Times New Roman" w:hAnsi="Times New Roman" w:cs="Times New Roman"/>
        </w:rPr>
        <w:t>- Promover a consulta ao CSTJ, nos termos propostos pela SEGEP; ou</w:t>
      </w:r>
    </w:p>
    <w:p w:rsidR="008F6CA3" w:rsidRDefault="008F6CA3" w:rsidP="00696F57">
      <w:pPr>
        <w:spacing w:line="240" w:lineRule="auto"/>
        <w:ind w:left="1701" w:hanging="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Fixar o entendimento em âmbito interno pela regularidade dos procedimentos, nos termos dos pareceres que compõem os presentes autos</w:t>
      </w:r>
      <w:r>
        <w:rPr>
          <w:rFonts w:ascii="Times New Roman" w:hAnsi="Times New Roman" w:cs="Times New Roman"/>
        </w:rPr>
        <w:t>. (...) (grifou-se)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bookmarkStart w:id="4" w:name="_1fob9te"/>
      <w:bookmarkEnd w:id="4"/>
      <w:r>
        <w:rPr>
          <w:rFonts w:ascii="Times New Roman" w:hAnsi="Times New Roman" w:cs="Times New Roman"/>
          <w:sz w:val="26"/>
          <w:szCs w:val="26"/>
        </w:rPr>
        <w:t xml:space="preserve">Com efeito, tais possibilidades foram fixadas após analisar o subsídio da Secretaria de Gestão de Pessoas, no Despacho SEGEP 1234334, que entendeu pela necessidade de se submeter a discussão ao Conselho Superior da Justiça do Trabalho e consultar o Tribunal de Contas da União, </w:t>
      </w:r>
      <w:r>
        <w:rPr>
          <w:rFonts w:ascii="Times New Roman" w:hAnsi="Times New Roman" w:cs="Times New Roman"/>
          <w:b/>
          <w:sz w:val="26"/>
          <w:szCs w:val="26"/>
        </w:rPr>
        <w:t>entendendo que a decisão desse tribunal foi equivocada e causará prejuízo aos servidores</w:t>
      </w:r>
      <w:r>
        <w:rPr>
          <w:rFonts w:ascii="Times New Roman" w:hAnsi="Times New Roman" w:cs="Times New Roman"/>
          <w:sz w:val="24"/>
          <w:szCs w:val="24"/>
          <w:vertAlign w:val="superscript"/>
        </w:rPr>
        <w:footnoteReference w:id="12"/>
      </w:r>
      <w:r>
        <w:rPr>
          <w:rFonts w:ascii="Times New Roman" w:hAnsi="Times New Roman" w:cs="Times New Roman"/>
          <w:sz w:val="26"/>
          <w:szCs w:val="26"/>
        </w:rPr>
        <w:t xml:space="preserve">; e o subsídio da Assessora Especial da DIGER na Análise DIGER 1236652, que concluiu que </w:t>
      </w:r>
      <w:r>
        <w:rPr>
          <w:rFonts w:ascii="Times New Roman" w:hAnsi="Times New Roman" w:cs="Times New Roman"/>
          <w:b/>
          <w:sz w:val="26"/>
          <w:szCs w:val="26"/>
        </w:rPr>
        <w:t>a decisão do Tribunal de Contas da União foi equivocada, contrariando as disposições legais sobre o tema e gerando um potencial lesivo aos servidores</w:t>
      </w:r>
      <w:r>
        <w:rPr>
          <w:rFonts w:ascii="Times New Roman" w:hAnsi="Times New Roman" w:cs="Times New Roman"/>
          <w:sz w:val="24"/>
          <w:szCs w:val="24"/>
          <w:vertAlign w:val="superscript"/>
        </w:rPr>
        <w:footnoteReference w:id="13"/>
      </w:r>
      <w:r>
        <w:rPr>
          <w:rFonts w:ascii="Times New Roman" w:hAnsi="Times New Roman" w:cs="Times New Roman"/>
          <w:sz w:val="26"/>
          <w:szCs w:val="26"/>
        </w:rPr>
        <w:t>.</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Calibri"/>
          <w:sz w:val="26"/>
          <w:szCs w:val="26"/>
          <w:lang w:eastAsia="ar-SA"/>
        </w:rPr>
      </w:pPr>
      <w:r>
        <w:rPr>
          <w:rFonts w:ascii="Times New Roman" w:hAnsi="Times New Roman" w:cs="Times New Roman"/>
          <w:sz w:val="26"/>
          <w:szCs w:val="26"/>
        </w:rPr>
        <w:t>No mesmo sentido, pode-se mencionar o opinativo da área técnica do TRT-18, que, a despeito do entendimento do Tribunal de Contas da União, opina no sentido de ser legal a cumulação</w:t>
      </w:r>
      <w:r>
        <w:rPr>
          <w:rFonts w:ascii="Times New Roman" w:hAnsi="Times New Roman"/>
          <w:sz w:val="26"/>
          <w:szCs w:val="26"/>
        </w:rPr>
        <w:t xml:space="preserve"> (Processo Administrativo nº 12235/2019):</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Calibri"/>
          <w:lang w:eastAsia="ar-SA"/>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Não obstante o entendimento do TCU, este Tribunal, com amparo em pareceres deste Núcleo de Legislação de Pessoal, tem mantido o pagamento cumulado da GAE com as VPNI's (quintos/décimos) decorrentes da incorporação das funções comissionadas de Oficial Especializado/FC-4 e de Executante de Mandados, níveis FC-3 e FC-5.</w:t>
      </w:r>
    </w:p>
    <w:p w:rsidR="008F6CA3" w:rsidRDefault="008F6CA3" w:rsidP="00696F57">
      <w:pPr>
        <w:spacing w:line="240" w:lineRule="auto"/>
        <w:ind w:left="1701"/>
        <w:jc w:val="both"/>
        <w:rPr>
          <w:rFonts w:ascii="Times New Roman" w:hAnsi="Times New Roman"/>
        </w:rPr>
      </w:pPr>
      <w:r>
        <w:rPr>
          <w:rFonts w:ascii="Times New Roman" w:hAnsi="Times New Roman"/>
          <w:b/>
        </w:rPr>
        <w:t>A posição deste Núcleo leva em consideração os efeitos jurídicos produzidos pela passagem do tempo, conjugado com a boa-fé dos servidores, dentre os próprios princípios consagrados pelo direito administrativo, a exemplo da segurança jurídica</w:t>
      </w: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 xml:space="preserve">No âmbito deste Tribunal, </w:t>
      </w:r>
      <w:r>
        <w:rPr>
          <w:rFonts w:ascii="Times New Roman" w:hAnsi="Times New Roman"/>
          <w:b/>
        </w:rPr>
        <w:t>é incontroverso</w:t>
      </w:r>
      <w:r>
        <w:rPr>
          <w:rFonts w:ascii="Times New Roman" w:hAnsi="Times New Roman"/>
        </w:rPr>
        <w:t xml:space="preserve"> o fato de que os atos administrativos que determinaram a incorporação das parcelas de quintos/décimos/VPNI’s decorrentes do exercício da função comissionada de Oficial Especializado/FC-4 foram praticados </w:t>
      </w:r>
      <w:r>
        <w:rPr>
          <w:rFonts w:ascii="Times New Roman" w:hAnsi="Times New Roman"/>
          <w:b/>
        </w:rPr>
        <w:t>há bem mais do que cinco anos</w:t>
      </w:r>
      <w:r>
        <w:rPr>
          <w:rFonts w:ascii="Times New Roman" w:hAnsi="Times New Roman"/>
        </w:rPr>
        <w:t xml:space="preserve"> (...). (grifou-se)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tabs>
          <w:tab w:val="left" w:pos="5748"/>
        </w:tabs>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Note-se que o opinativo do TRT-18 ressaltou que o direito da Administração rever seus atos foi fulminado pela decadência.</w:t>
      </w:r>
    </w:p>
    <w:p w:rsidR="008F6CA3" w:rsidRDefault="008F6CA3" w:rsidP="00696F57">
      <w:pPr>
        <w:tabs>
          <w:tab w:val="left" w:pos="5748"/>
        </w:tabs>
        <w:spacing w:line="240" w:lineRule="auto"/>
        <w:ind w:firstLine="1695"/>
        <w:jc w:val="both"/>
        <w:rPr>
          <w:rFonts w:ascii="Times New Roman" w:hAnsi="Times New Roman" w:cs="Times New Roman"/>
          <w:sz w:val="26"/>
          <w:szCs w:val="26"/>
        </w:rPr>
      </w:pPr>
    </w:p>
    <w:p w:rsidR="008F6CA3" w:rsidRDefault="008F6CA3" w:rsidP="00696F57">
      <w:pPr>
        <w:tabs>
          <w:tab w:val="left" w:pos="5748"/>
        </w:tabs>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Não fosse suficiente, pode-se mencionar, ainda, o parecer proferido no Protocolo Administrativo nº 3135/2019-DG (anexo 6), no âmbito do Tribunal Regional Trabalho da 15ª Região:</w:t>
      </w:r>
    </w:p>
    <w:p w:rsidR="008F6CA3" w:rsidRDefault="008F6CA3" w:rsidP="00696F57">
      <w:pPr>
        <w:tabs>
          <w:tab w:val="left" w:pos="5748"/>
        </w:tabs>
        <w:spacing w:line="240" w:lineRule="auto"/>
        <w:ind w:firstLine="1695"/>
        <w:jc w:val="both"/>
        <w:rPr>
          <w:rFonts w:ascii="Times New Roman" w:hAnsi="Times New Roman" w:cs="Times New Roman"/>
          <w:sz w:val="26"/>
          <w:szCs w:val="26"/>
        </w:rPr>
      </w:pPr>
    </w:p>
    <w:p w:rsidR="008F6CA3" w:rsidRDefault="008F6CA3" w:rsidP="00696F57">
      <w:pPr>
        <w:tabs>
          <w:tab w:val="left" w:pos="5748"/>
        </w:tabs>
        <w:spacing w:line="240" w:lineRule="auto"/>
        <w:ind w:left="1701"/>
        <w:jc w:val="both"/>
        <w:rPr>
          <w:rFonts w:ascii="Times New Roman" w:hAnsi="Times New Roman" w:cs="Times New Roman"/>
        </w:rPr>
      </w:pPr>
      <w:r>
        <w:rPr>
          <w:rFonts w:ascii="Times New Roman" w:hAnsi="Times New Roman" w:cs="Times New Roman"/>
        </w:rPr>
        <w:t xml:space="preserve">Consigna-se, de qualquer sorte, salvo juízo mais abalizado, que </w:t>
      </w:r>
      <w:r>
        <w:rPr>
          <w:rFonts w:ascii="Times New Roman" w:hAnsi="Times New Roman" w:cs="Times New Roman"/>
          <w:b/>
        </w:rPr>
        <w:t>as designações para o exercício de função comissionada aos Oficiais de Justiça neste Tribunal não tinham a natureza de gratificação, como sói afirmar o Tribunal de Contas da União, haja vista que, reforçando o quanto informado pela citada Coordenadoria “nem sempre estiveram à disposição imediata dos Juízos e necessariamente não se automatizavam com a entrada em exercício dos servidores</w:t>
      </w:r>
      <w:r>
        <w:rPr>
          <w:rFonts w:ascii="Times New Roman" w:hAnsi="Times New Roman" w:cs="Times New Roman"/>
        </w:rPr>
        <w:t>”. Além disso, “no acompanhamento da produtividade, seria perfeitamente possível à autoridade judicial destituir este ou aquele servidor do comissionamento”, haja vista que a sua atribuição privilegiava “a relação de estrita confiança entre os Juízos Trabalhistas e seus Oficiais, incrementando dentro da autonomia administrativa constitucionalmente prevista para o Poder Judiciário a ideia de “longa manus” para os magistrados e o caráter técnico das atribuições do oficialato”. Tudo isso só reforça o fato de que tal verba percebida pelos Oficiais de Justiça possuía realmente a natureza de função comissionada, haja vista ser sua designação de livre nomeação e exoneração pela autoridade competente. (grifou-se)</w:t>
      </w:r>
    </w:p>
    <w:p w:rsidR="008F6CA3" w:rsidRDefault="008F6CA3" w:rsidP="00696F57">
      <w:pPr>
        <w:spacing w:line="240" w:lineRule="auto"/>
        <w:ind w:firstLine="1695"/>
        <w:jc w:val="both"/>
        <w:rPr>
          <w:rFonts w:ascii="Times New Roman" w:hAnsi="Times New Roman" w:cs="Calibri"/>
          <w:sz w:val="26"/>
          <w:szCs w:val="26"/>
          <w:lang w:eastAsia="ar-SA"/>
        </w:rPr>
      </w:pPr>
    </w:p>
    <w:p w:rsidR="008F6CA3" w:rsidRDefault="008F6CA3" w:rsidP="00696F57">
      <w:pPr>
        <w:spacing w:line="240" w:lineRule="auto"/>
        <w:ind w:firstLine="1695"/>
        <w:jc w:val="both"/>
        <w:rPr>
          <w:rFonts w:ascii="Times New Roman" w:hAnsi="Times New Roman"/>
          <w:sz w:val="26"/>
          <w:szCs w:val="26"/>
        </w:rPr>
      </w:pPr>
      <w:r>
        <w:rPr>
          <w:rFonts w:ascii="Times New Roman" w:hAnsi="Times New Roman"/>
          <w:sz w:val="26"/>
          <w:szCs w:val="26"/>
        </w:rPr>
        <w:t>Outrossim, diverso não é o entendimento do Tribunal Regional do Trabalho da 4ª Região (PROAD nº 3717/2019 – anexo 7), que dispõe:</w:t>
      </w:r>
    </w:p>
    <w:p w:rsidR="008F6CA3" w:rsidRDefault="008F6CA3" w:rsidP="00696F57">
      <w:pPr>
        <w:spacing w:line="240" w:lineRule="auto"/>
        <w:ind w:firstLine="1695"/>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rsidR="008F6CA3" w:rsidRDefault="008F6CA3" w:rsidP="00696F57">
      <w:pPr>
        <w:spacing w:line="240" w:lineRule="auto"/>
        <w:ind w:left="1701"/>
        <w:jc w:val="both"/>
        <w:rPr>
          <w:rFonts w:ascii="Times New Roman" w:hAnsi="Times New Roman"/>
        </w:rPr>
      </w:pPr>
      <w:r>
        <w:rPr>
          <w:rFonts w:ascii="Times New Roman" w:hAnsi="Times New Roman"/>
          <w:b/>
          <w:bCs/>
        </w:rPr>
        <w:t>Destaca-se, ainda, que não se trata de revisão de ato flagrantemente inconstitucional, a admitir a não submissão da Administração ao prazo decadencial de 05 anos previsto no artigo 54 da Lei nº 9.784/1999.</w:t>
      </w:r>
    </w:p>
    <w:p w:rsidR="008F6CA3" w:rsidRDefault="008F6CA3" w:rsidP="00696F57">
      <w:pPr>
        <w:spacing w:line="240" w:lineRule="auto"/>
        <w:ind w:left="1701"/>
        <w:jc w:val="both"/>
        <w:rPr>
          <w:rFonts w:ascii="Times New Roman" w:hAnsi="Times New Roman"/>
        </w:rPr>
      </w:pPr>
      <w:r>
        <w:rPr>
          <w:rFonts w:ascii="Times New Roman" w:hAnsi="Times New Roman"/>
        </w:rPr>
        <w:t>(...)</w:t>
      </w:r>
    </w:p>
    <w:p w:rsidR="008F6CA3" w:rsidRDefault="008F6CA3" w:rsidP="00696F57">
      <w:pPr>
        <w:spacing w:line="240" w:lineRule="auto"/>
        <w:ind w:left="1701"/>
        <w:jc w:val="both"/>
        <w:rPr>
          <w:rFonts w:ascii="Times New Roman" w:hAnsi="Times New Roman"/>
        </w:rPr>
      </w:pPr>
      <w:r>
        <w:rPr>
          <w:rFonts w:ascii="Times New Roman" w:hAnsi="Times New Roman"/>
        </w:rPr>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 (grifou-se)</w:t>
      </w:r>
    </w:p>
    <w:p w:rsidR="008F6CA3" w:rsidRDefault="008F6CA3" w:rsidP="00696F57">
      <w:pPr>
        <w:spacing w:line="240" w:lineRule="auto"/>
        <w:ind w:firstLine="1695"/>
        <w:jc w:val="both"/>
        <w:rPr>
          <w:rFonts w:ascii="Times New Roman" w:hAnsi="Times New Roman"/>
          <w:sz w:val="26"/>
          <w:szCs w:val="26"/>
        </w:rPr>
      </w:pPr>
    </w:p>
    <w:p w:rsidR="008F6CA3" w:rsidRDefault="008F6CA3" w:rsidP="00696F57">
      <w:pPr>
        <w:spacing w:line="240" w:lineRule="auto"/>
        <w:ind w:firstLine="1695"/>
        <w:jc w:val="both"/>
        <w:rPr>
          <w:rFonts w:ascii="Times New Roman" w:hAnsi="Times New Roman"/>
          <w:sz w:val="26"/>
          <w:szCs w:val="26"/>
        </w:rPr>
      </w:pPr>
      <w:r>
        <w:rPr>
          <w:rFonts w:ascii="Times New Roman" w:hAnsi="Times New Roman"/>
          <w:sz w:val="26"/>
          <w:szCs w:val="26"/>
        </w:rPr>
        <w:t xml:space="preserve">Por fim, a presidência do Tribunal Regional do Trabalho da 4ª Região determinou que o registro dos indícios apontados pelo TCU seja sinalizado como não procedente, por entender que as irregularidades imputadas não se verificam: </w:t>
      </w:r>
    </w:p>
    <w:p w:rsidR="008F6CA3" w:rsidRDefault="008F6CA3" w:rsidP="00696F57">
      <w:pPr>
        <w:spacing w:line="240" w:lineRule="auto"/>
        <w:ind w:firstLine="1695"/>
        <w:jc w:val="both"/>
        <w:rPr>
          <w:rFonts w:ascii="Times New Roman" w:hAnsi="Times New Roman"/>
          <w:sz w:val="26"/>
          <w:szCs w:val="26"/>
        </w:rPr>
      </w:pPr>
    </w:p>
    <w:p w:rsidR="008F6CA3" w:rsidRDefault="008F6CA3" w:rsidP="00696F57">
      <w:pPr>
        <w:spacing w:line="240" w:lineRule="auto"/>
        <w:ind w:left="1701" w:hanging="6"/>
        <w:jc w:val="both"/>
        <w:rPr>
          <w:rFonts w:ascii="Times New Roman" w:hAnsi="Times New Roman"/>
          <w:szCs w:val="26"/>
        </w:rPr>
      </w:pPr>
      <w:r>
        <w:rPr>
          <w:rFonts w:ascii="Times New Roman" w:hAnsi="Times New Roman"/>
          <w:szCs w:val="26"/>
        </w:rPr>
        <w:t xml:space="preserve">Com base no exposto, </w:t>
      </w:r>
      <w:r>
        <w:rPr>
          <w:rFonts w:ascii="Times New Roman" w:hAnsi="Times New Roman"/>
          <w:b/>
          <w:szCs w:val="26"/>
        </w:rPr>
        <w:t>entendo não caracterizadas as irregularidades imputadas no sistema e-Pessoal do Tribunal  de  Contas  da  União  –  TCU  aos  143 servidores deste Tribunal, ativos e inativos (relacionados às fls. 03-11), que percebem, cumulativamente, parcelas de Gratificação de Atividade Externa – GAE e de Vantagem Pessoal Nominalmente Identificada – VPNI.</w:t>
      </w:r>
    </w:p>
    <w:p w:rsidR="008F6CA3" w:rsidRDefault="008F6CA3" w:rsidP="00696F57">
      <w:pPr>
        <w:spacing w:line="240" w:lineRule="auto"/>
        <w:ind w:left="1695"/>
        <w:jc w:val="both"/>
        <w:rPr>
          <w:rFonts w:ascii="Times New Roman" w:hAnsi="Times New Roman"/>
          <w:b/>
          <w:szCs w:val="26"/>
        </w:rPr>
      </w:pPr>
      <w:r>
        <w:rPr>
          <w:rFonts w:ascii="Times New Roman" w:hAnsi="Times New Roman"/>
          <w:szCs w:val="26"/>
        </w:rPr>
        <w:t xml:space="preserve">Diante do exposto, </w:t>
      </w:r>
      <w:r>
        <w:rPr>
          <w:rFonts w:ascii="Times New Roman" w:hAnsi="Times New Roman"/>
          <w:b/>
          <w:szCs w:val="26"/>
        </w:rPr>
        <w:t>em resposta aos indícios apontados pelo TCU (fls. 03-11) e de acordo com o que consta no Manual do Módulo Indícios do  “sistema ePessoal”, determino:</w:t>
      </w:r>
    </w:p>
    <w:p w:rsidR="008F6CA3" w:rsidRDefault="008F6CA3" w:rsidP="00696F57">
      <w:pPr>
        <w:spacing w:line="240" w:lineRule="auto"/>
        <w:ind w:left="1701" w:hanging="6"/>
        <w:jc w:val="both"/>
        <w:rPr>
          <w:rFonts w:ascii="Times New Roman" w:hAnsi="Times New Roman"/>
          <w:b/>
          <w:szCs w:val="26"/>
        </w:rPr>
      </w:pPr>
      <w:r>
        <w:rPr>
          <w:rFonts w:ascii="Times New Roman" w:hAnsi="Times New Roman"/>
          <w:b/>
          <w:szCs w:val="26"/>
        </w:rPr>
        <w:t>a) o registro no sistema e-Pessoal do enquadramento na opção nº 05 - “O  indício  não  procede,  pois  a  situação  do  servidor/pensionista  está  amparada por outras normas e/ou decisões”;</w:t>
      </w:r>
    </w:p>
    <w:p w:rsidR="008F6CA3" w:rsidRDefault="008F6CA3" w:rsidP="00696F57">
      <w:pPr>
        <w:spacing w:line="240" w:lineRule="auto"/>
        <w:ind w:firstLine="1695"/>
        <w:jc w:val="both"/>
        <w:rPr>
          <w:rFonts w:ascii="Times New Roman" w:hAnsi="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Portanto, a cumulação da Gratificação de Atividade Externa e Vantagem Pessoal Nominalmente Identificado é possível, sendo que até mesmo alguns tribunais já vêm questionando o entendimento que o Tribunal de Contas da União assumiu, por esse violar as disposições legais.</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É o caso do Tribunal Regional Federal da 3ª Região no Processo SEI 0034117-87.2019.4.03.8000 (anexo 8), em que a Diretora da Divisão de Folha de Pagamento, em exercício, prestou a Informação nº 5054608/2019 – DFOL, após provocação do Tribunal de Contas da União alegando irregularidades; e considerou que o Tribunal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Nesse mesmo processo, o Supervisor da Seção de Inativos teve a mesma interpretação, conforme se infere do trecho destacado:</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695" w:right="15"/>
        <w:jc w:val="both"/>
        <w:rPr>
          <w:rFonts w:ascii="Times New Roman" w:hAnsi="Times New Roman" w:cs="Times New Roman"/>
        </w:rPr>
      </w:pPr>
      <w:r>
        <w:rPr>
          <w:rFonts w:ascii="Times New Roman" w:hAnsi="Times New Roman" w:cs="Times New Roman"/>
        </w:rPr>
        <w:t>Ante o exposto, esclareço que nenhum servidor desta Seção Judiciária recebe rubricas de Função Comissionada ou Cargo em Comissão cumulativamente com a rubrica de Gratificação de Atividade Externa – GAE.</w:t>
      </w:r>
    </w:p>
    <w:p w:rsidR="008F6CA3" w:rsidRDefault="008F6CA3" w:rsidP="00696F57">
      <w:pPr>
        <w:spacing w:line="240" w:lineRule="auto"/>
        <w:ind w:left="1695" w:right="15"/>
        <w:jc w:val="both"/>
        <w:rPr>
          <w:rFonts w:ascii="Times New Roman" w:hAnsi="Times New Roman" w:cs="Times New Roman"/>
          <w:b/>
        </w:rPr>
      </w:pPr>
      <w:r>
        <w:rPr>
          <w:rFonts w:ascii="Times New Roman" w:hAnsi="Times New Roman" w:cs="Times New Roman"/>
        </w:rPr>
        <w:t xml:space="preserve">O apontamento que consta nos indícios não procede, visto que as rubricas pagas cumulativamente com a Gratificação de Atividade de Segurança – GAE </w:t>
      </w:r>
      <w:r>
        <w:rPr>
          <w:rFonts w:ascii="Times New Roman" w:hAnsi="Times New Roman" w:cs="Times New Roman"/>
          <w:b/>
        </w:rPr>
        <w:t>são de parcelas de frações de quintos transformados em VPNI e NÃO de exercício de Função Comissionada ou Cargo em Comissão.</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Ao analisar questão, a Diretoria da Divisão de Administração de Pessoal do Tribunal Regional Federal da 4ª Região destacou que o entendimento do TCU não se coaduna com o que é aplicado no âmbito daquela justiça e endossado pelo Conselho da Justiça Federal, conforme revelam os seguintes trechos do parecer:</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701" w:right="15"/>
        <w:jc w:val="both"/>
        <w:rPr>
          <w:rFonts w:ascii="Times New Roman" w:hAnsi="Times New Roman" w:cs="Times New Roman"/>
        </w:rPr>
      </w:pPr>
      <w:r>
        <w:rPr>
          <w:rFonts w:ascii="Times New Roman" w:hAnsi="Times New Roman" w:cs="Times New Roman"/>
        </w:rPr>
        <w:t>(...)</w:t>
      </w:r>
    </w:p>
    <w:p w:rsidR="008F6CA3" w:rsidRDefault="008F6CA3" w:rsidP="00696F57">
      <w:pPr>
        <w:spacing w:line="240" w:lineRule="auto"/>
        <w:ind w:left="1701" w:right="15"/>
        <w:jc w:val="both"/>
        <w:rPr>
          <w:rFonts w:ascii="Times New Roman" w:hAnsi="Times New Roman" w:cs="Times New Roman"/>
        </w:rPr>
      </w:pPr>
      <w:r>
        <w:rPr>
          <w:rFonts w:ascii="Times New Roman" w:hAnsi="Times New Roman" w:cs="Times New Roman"/>
        </w:rPr>
        <w:t xml:space="preserve">Registra-se que o Conselho da Justiça Federal, ao apreciar o Processo n. 2015/00006, em Sessão de 15/10/2015, que tratava de consulta acerca da possibilidade de pagamento cumulativo da GAE com a opção da FC/CJ para servidores inativos, firmou entendimento de que a impossibilidade da percepção da GAE pelo servidor nomeado para cargo em comissão ou designado para função comissionada, vedação prevista no §2º do art. 16 da Lei 11.416/06, estende-se aos servidores aposentados; entendimento que é aplicado no âmbito da Justiça Federal de 1º e 2º graus (docs. 4796228 e 4796295), </w:t>
      </w:r>
      <w:r>
        <w:rPr>
          <w:rFonts w:ascii="Times New Roman" w:hAnsi="Times New Roman" w:cs="Times New Roman"/>
          <w:b/>
        </w:rPr>
        <w:t>todavia, em momento algum, o colegiado estabeleceu restrição quanto ao pagamento cumulativo da GAE com VPNI (quintos).</w:t>
      </w:r>
      <w:r>
        <w:rPr>
          <w:rFonts w:ascii="Times New Roman" w:hAnsi="Times New Roman" w:cs="Times New Roman"/>
        </w:rPr>
        <w:t xml:space="preserve"> (grifou-se)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Dessa forma, deve-se considerar que devido à natureza das parcelas, a incorporação de ambas é possível tanto durante a atividade quanto na inatividade, não havendo óbice à cumulação.</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2.3.</w:t>
      </w:r>
      <w:r>
        <w:rPr>
          <w:rFonts w:ascii="Times New Roman" w:hAnsi="Times New Roman" w:cs="Times New Roman"/>
          <w:b/>
          <w:sz w:val="26"/>
          <w:szCs w:val="26"/>
          <w:u w:val="single"/>
        </w:rPr>
        <w:t xml:space="preserve"> Da violação ao devido processo legal</w:t>
      </w: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Apesar da clara possibilidade de cumulação dos quintos incorporados com a GAE, o TCU, como já demonstrado, considerou que se configura como uma situação irregular, solicitando aos diversos tribunais que informem seus servidores sobre a transformação dos quintos em parcela absorvível, Com isso, viola-se o devido processo legal, já que a alteração na parcela dos quintos ocorreu sem que fosse oportunizado o exercício do devido processo legal, contraditório e ampla defesa, sendo que se pretende, com isso, implementar redução remuneratória em desfavor dos Oficiais de Justiça.</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Isso porque, a formalização tardia da ciência do despacho do Presidente aos servidores traz mera informação, não atendendo ao princípio do contraditório, que é bem mais amplo, a abranger, além desse direito – agora supostamente atendido, também o direito de manifestação e o de ver seus argumentos considerados.</w:t>
      </w:r>
    </w:p>
    <w:p w:rsidR="008F6CA3" w:rsidRDefault="008F6CA3" w:rsidP="00696F57">
      <w:pPr>
        <w:spacing w:line="240" w:lineRule="auto"/>
        <w:ind w:right="150" w:firstLine="1695"/>
        <w:jc w:val="both"/>
        <w:rPr>
          <w:rFonts w:ascii="Times New Roman" w:hAnsi="Times New Roman" w:cs="Times New Roman"/>
          <w:sz w:val="26"/>
          <w:szCs w:val="26"/>
        </w:rPr>
      </w:pP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Registre-se que o direito de exercer previamente o contraditório e a ampla defesa não é efetivado pela mera manifestação antes do implemento da redução dos vencimentos. Ou seja, a redução não pode ocorrer antes da conclusão do devido procedimento administrativo. Do contrário, violam-se os termos dos incisos LIV e LV do artigo 5º da Constituição da República Federativa do Brasil:</w:t>
      </w:r>
    </w:p>
    <w:p w:rsidR="008F6CA3" w:rsidRDefault="008F6CA3" w:rsidP="00696F57">
      <w:pPr>
        <w:spacing w:line="240" w:lineRule="auto"/>
        <w:ind w:right="15" w:firstLine="1695"/>
        <w:jc w:val="both"/>
        <w:rPr>
          <w:rFonts w:ascii="Times New Roman" w:hAnsi="Times New Roman" w:cs="Times New Roman"/>
          <w:sz w:val="24"/>
          <w:szCs w:val="24"/>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Art. 5º (…) LIV – ninguém será privado da liberdade ou de seus bens sem o devido processo legal; (…)</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LV – aos litigantes, em processo judicial ou administrativo, e aos acusados em geral são assegurados o contraditório e ampla defesa com os meios e recursos a ela inerentes; (…)</w:t>
      </w:r>
    </w:p>
    <w:p w:rsidR="008F6CA3" w:rsidRDefault="008F6CA3" w:rsidP="00696F57">
      <w:pPr>
        <w:spacing w:line="240" w:lineRule="auto"/>
        <w:ind w:left="1695"/>
        <w:jc w:val="both"/>
        <w:rPr>
          <w:rFonts w:ascii="Times New Roman" w:hAnsi="Times New Roman" w:cs="Times New Roman"/>
        </w:rPr>
      </w:pP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No mesmo sentido determina o artigo 2° da Lei 9.784, de 1999, que dispõe sobre processo administrativo no âmbito da Administração Pública Federal:</w:t>
      </w:r>
    </w:p>
    <w:p w:rsidR="008F6CA3" w:rsidRDefault="008F6CA3" w:rsidP="00696F57">
      <w:pPr>
        <w:spacing w:line="240" w:lineRule="auto"/>
        <w:ind w:left="1695"/>
        <w:jc w:val="both"/>
        <w:rPr>
          <w:rFonts w:ascii="Times New Roman" w:hAnsi="Times New Roman" w:cs="Times New Roman"/>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Art. 2º A Administração Pública obedecerá, dentre outros, aos princípios da legalidade, finalidade, motivação, razoabilidade, proporcionalidade, moralidade, ampla defesa, contraditório, segurança jurídica, interesse público e eficiência.</w:t>
      </w:r>
    </w:p>
    <w:p w:rsidR="008F6CA3" w:rsidRDefault="008F6CA3" w:rsidP="00696F57">
      <w:pPr>
        <w:spacing w:line="240" w:lineRule="auto"/>
        <w:ind w:left="1695"/>
        <w:jc w:val="both"/>
        <w:rPr>
          <w:rFonts w:ascii="Times New Roman" w:hAnsi="Times New Roman" w:cs="Times New Roman"/>
        </w:rPr>
      </w:pP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Há, ainda, outros dispositivos da dita Lei Geral do Processo Administrativo que estipulam o alcance do direito à ampla defesa e ao contraditório no âmbito, garantindo-o previamente às decisões administrativas:</w:t>
      </w:r>
    </w:p>
    <w:p w:rsidR="008F6CA3" w:rsidRDefault="008F6CA3" w:rsidP="00696F57">
      <w:pPr>
        <w:spacing w:line="240" w:lineRule="auto"/>
        <w:ind w:right="150" w:firstLine="1695"/>
        <w:jc w:val="both"/>
        <w:rPr>
          <w:rFonts w:ascii="Times New Roman" w:hAnsi="Times New Roman" w:cs="Times New Roman"/>
          <w:sz w:val="26"/>
          <w:szCs w:val="26"/>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Art. 3º O administrado tem os seguintes direitos perante a Administração, sem prejuízo de outros que lhe sejam assegurados:(…)</w:t>
      </w: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III - formular alegações e apresentar documentos antes da decisão, os quais serão objeto de consideração pelo órgão competente; (…)</w:t>
      </w:r>
    </w:p>
    <w:p w:rsidR="008F6CA3" w:rsidRDefault="008F6CA3" w:rsidP="00696F57">
      <w:pPr>
        <w:spacing w:line="240" w:lineRule="auto"/>
        <w:ind w:left="1695"/>
        <w:jc w:val="both"/>
        <w:rPr>
          <w:rFonts w:ascii="Times New Roman" w:hAnsi="Times New Roman" w:cs="Times New Roman"/>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Art. 38. O interessado poderá, na fase instrutória e antes da tomada da decisão, juntar documentos e pareceres, requerer diligências e perícias, bem como aduzir alegações referentes à matéria objeto do processo.</w:t>
      </w:r>
    </w:p>
    <w:p w:rsidR="008F6CA3" w:rsidRDefault="008F6CA3" w:rsidP="00696F57">
      <w:pPr>
        <w:spacing w:line="240" w:lineRule="auto"/>
        <w:ind w:left="1695"/>
        <w:jc w:val="both"/>
        <w:rPr>
          <w:rFonts w:ascii="Times New Roman" w:hAnsi="Times New Roman" w:cs="Times New Roman"/>
        </w:rPr>
      </w:pP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Disso resulta que o servidor não deve sofrer qualquer prejuízo em sua remuneração sem prévio processo administrativo no qual lhe seja assegurado o contraditório e a ampla defesa, razão pela qual a supressão de uma das parcelas (GAE ou VPNI) somente poderia ser efetivada após o devido processo legal individual, assegurada concretamente sua ampla defesa e contraditório.</w:t>
      </w:r>
    </w:p>
    <w:p w:rsidR="008F6CA3" w:rsidRDefault="008F6CA3" w:rsidP="00696F57">
      <w:pPr>
        <w:spacing w:line="240" w:lineRule="auto"/>
        <w:ind w:right="150" w:firstLine="1695"/>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A respeito do tema, outra não é a posição adotada pelo Supremo Tribunal Federal quando decidiu sobre o alcance do devido processo legal, do contraditório e da ampla defesa no âmbito administrativo: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Mandado de Segurança. 2. Cancelamento de pensão especial pelo Tribunal de Contas da União. Ausência de comprovação da adoção por instrumento jurídico adequado. Pensão concedida há vinte anos. </w:t>
      </w:r>
      <w:r>
        <w:rPr>
          <w:rFonts w:ascii="Times New Roman" w:hAnsi="Times New Roman" w:cs="Times New Roman"/>
          <w:b/>
          <w:bCs/>
          <w:szCs w:val="26"/>
        </w:rPr>
        <w:t>3. Direito de defesa ampliado com a Constituição de 1988. Âmbito de proteção que contempla todos os processos, judiciais ou administrativos, e não se resume a um simples direito de manifestação no processo</w:t>
      </w:r>
      <w:r>
        <w:rPr>
          <w:rFonts w:ascii="Times New Roman" w:hAnsi="Times New Roman" w:cs="Times New Roman"/>
          <w:szCs w:val="26"/>
        </w:rPr>
        <w:t xml:space="preserve">. 4. Direito constitucional comparado. </w:t>
      </w:r>
      <w:r>
        <w:rPr>
          <w:rFonts w:ascii="Times New Roman" w:hAnsi="Times New Roman" w:cs="Times New Roman"/>
          <w:b/>
          <w:bCs/>
          <w:szCs w:val="26"/>
        </w:rPr>
        <w:t>Pretensão à tutela jurídica que envolve não só o direito de manifestação e de informação, mas também o direito de ver seus argumentos contemplados pelo órgão julgador. 5. Os princípios do contraditório e da ampla defesa, assegurados pela Constituição, aplicam-se a todos os procedimentos administrativos. 6. O exercício pleno do contraditório não se limita à garantia de alegação oportuna e eficaz a respeito de fatos, mas implica a possibilidade de ser ouvido também em matéria jurídica.</w:t>
      </w:r>
      <w:r>
        <w:rPr>
          <w:rFonts w:ascii="Times New Roman" w:hAnsi="Times New Roman" w:cs="Times New Roman"/>
          <w:szCs w:val="26"/>
        </w:rPr>
        <w:t xml:space="preserve"> 7. Aplicação do princípio da segurança jurídica, enquanto subprincípio do Estado de Direito. Possibilidade de revogação de atos administrativos que não se pode estender indefinidamente. Poder anulatório sujeito a prazo razoável. Necessidade de estabilidade das situações criadas administrativamente. 8. </w:t>
      </w:r>
      <w:r>
        <w:rPr>
          <w:rFonts w:ascii="Times New Roman" w:hAnsi="Times New Roman" w:cs="Times New Roman"/>
          <w:b/>
          <w:bCs/>
          <w:szCs w:val="26"/>
        </w:rPr>
        <w:t>Distinção entre atuação administrativa que independe da audiência do interessado e decisão que, unilateralmente, cancela decisão anterior. Incidência da garantia do contraditório, da ampla defesa e do devido processo legal ao processo administrativo</w:t>
      </w:r>
      <w:r>
        <w:rPr>
          <w:rFonts w:ascii="Times New Roman" w:hAnsi="Times New Roman" w:cs="Times New Roman"/>
          <w:szCs w:val="26"/>
        </w:rPr>
        <w:t xml:space="preserve">. 9. Princípio da confiança como elemento do princípio da segurança jurídica. Presença de um componente de ética jurídica. Aplicação nas relações jurídicas de direito público. 10. Mandado de Segurança deferido para determinar observância do princípio do contraditório e da ampla defesa (CF art. 5º LV)” (Supremo Tribunal Federal, MS 24.268/MG, relatora ministra ELLEN GRACIE, relator para o acórdão ministro GILMAR MENDES, julgamento em 05/02/2004, Tribunal Pleno, DJ 17/09/2004, p. 53)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Nessa oportunidade, destaca-se trecho do voto proferido pelo relator Ministro Gilmar Mendes condutor do Mandado de Segurança 24.268/MG, na qual apresenta dimensões que contém o direito ao contraditório e a ampla defesa, de forma que assegura ao prejudicado uma participação em </w:t>
      </w:r>
      <w:r>
        <w:rPr>
          <w:rFonts w:ascii="Times New Roman" w:hAnsi="Times New Roman" w:cs="Times New Roman"/>
          <w:b/>
          <w:bCs/>
          <w:sz w:val="26"/>
          <w:szCs w:val="26"/>
        </w:rPr>
        <w:t>todos os atos do processo</w:t>
      </w:r>
      <w:r>
        <w:rPr>
          <w:rFonts w:ascii="Times New Roman" w:hAnsi="Times New Roman" w:cs="Times New Roman"/>
          <w:sz w:val="26"/>
          <w:szCs w:val="26"/>
        </w:rPr>
        <w:t xml:space="preserve"> para que possa compreender exatamente do que se trata, bem como apresentar a sua versão do ocorrido;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Daí afirmar-se, correntemente, </w:t>
      </w:r>
      <w:r>
        <w:rPr>
          <w:rFonts w:ascii="Times New Roman" w:hAnsi="Times New Roman" w:cs="Times New Roman"/>
          <w:b/>
          <w:bCs/>
          <w:szCs w:val="26"/>
        </w:rPr>
        <w:t>que a pretensão à tutela jurídica, que corresponde exatamente à garantia consagrada no art. 5°, LV, da Constituição, contém os seguintes direitos:</w:t>
      </w:r>
      <w:r>
        <w:rPr>
          <w:rFonts w:ascii="Times New Roman" w:hAnsi="Times New Roman" w:cs="Times New Roman"/>
          <w:szCs w:val="26"/>
        </w:rPr>
        <w:t xml:space="preserve">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1) direito de </w:t>
      </w:r>
      <w:r>
        <w:rPr>
          <w:rFonts w:ascii="Times New Roman" w:hAnsi="Times New Roman" w:cs="Times New Roman"/>
          <w:b/>
          <w:bCs/>
          <w:szCs w:val="26"/>
        </w:rPr>
        <w:t>informação</w:t>
      </w:r>
      <w:r>
        <w:rPr>
          <w:rFonts w:ascii="Times New Roman" w:hAnsi="Times New Roman" w:cs="Times New Roman"/>
          <w:szCs w:val="26"/>
        </w:rPr>
        <w:t xml:space="preserve"> (Recht auf Information), que obriga o órgão julgador a informar à parte contrária dos atos praticados no processo e sobre os elementos dele constantes;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2) direito de </w:t>
      </w:r>
      <w:r>
        <w:rPr>
          <w:rFonts w:ascii="Times New Roman" w:hAnsi="Times New Roman" w:cs="Times New Roman"/>
          <w:b/>
          <w:bCs/>
          <w:szCs w:val="26"/>
        </w:rPr>
        <w:t>manifestação</w:t>
      </w:r>
      <w:r>
        <w:rPr>
          <w:rFonts w:ascii="Times New Roman" w:hAnsi="Times New Roman" w:cs="Times New Roman"/>
          <w:szCs w:val="26"/>
        </w:rPr>
        <w:t xml:space="preserve"> (Recht auf Äusserung), que assegura ao defendente a possibilidade de manifestar-se oralmente ou por escrito sobre os elementos fáticos e jurídicos constantes do processo;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 xml:space="preserve">3) direito de </w:t>
      </w:r>
      <w:r>
        <w:rPr>
          <w:rFonts w:ascii="Times New Roman" w:hAnsi="Times New Roman" w:cs="Times New Roman"/>
          <w:b/>
          <w:bCs/>
          <w:szCs w:val="26"/>
        </w:rPr>
        <w:t>ver seus argumentos considerados</w:t>
      </w:r>
      <w:r>
        <w:rPr>
          <w:rFonts w:ascii="Times New Roman" w:hAnsi="Times New Roman" w:cs="Times New Roman"/>
          <w:szCs w:val="26"/>
        </w:rPr>
        <w:t xml:space="preserve"> (Recht auf Berücksichtigung), que exige do julgador capacidade, apreensão e isenção de ânimo (Aufnahmefähigkeit und Aufnahmebereitschaft) para contemplar as razões apresentadas (…)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Trata-se, em realidade, do alcance do contraditório assegurado pela Constituição da República. E prossegue o ministro nos seguintes termos: </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b/>
          <w:bCs/>
          <w:szCs w:val="26"/>
        </w:rPr>
        <w:t>Sobre o direito de ver os seus argumentos contemplados pelo órgão julgador (Recht auf Berücksichtigung), que corresponde, obviamente, ao dever do juiz ou da Administração de a eles conferir atenção (Beachtenspflicht), pode-se afirmar que envolve não só o dever de tomar conhecimento (Kenntnisnahmepflicht), como também o de considerar, séria e detidamente, as razões apresentadas (Erwägungspflicht)</w:t>
      </w:r>
      <w:r>
        <w:rPr>
          <w:rFonts w:ascii="Times New Roman" w:hAnsi="Times New Roman" w:cs="Times New Roman"/>
          <w:szCs w:val="26"/>
        </w:rPr>
        <w:t xml:space="preserve"> (…) É da obrigação de considerar as razões apresentadas que deriva o dever de fundamentar as decisões (…) Dessa perspectiva não se afastou a Lei nº 9.784, de 29.1.1999, que regula o processo administrativo no âmbito da Administração Pública Federal. O art. 2° desse diploma legal determina, expressamente, que a Administração Pública obedecerá aos princípios da ampla defesa e do contraditório. O parágrafo único desse dispositivo estabelece que nos processos administrativos serão observados, dentre outros, os critérios de ‘observância das formalidades essenciais à garantia dos direitos dos administrados’ (inciso VIII) e de ‘garantia dos direitos à comunicação’ (inciso X) </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Portanto, não pode ser efetivado imediatamente o entendimento pretendido pela Administração, porque agindo desta forma ignora-se a garantia do devido processo legal.</w:t>
      </w:r>
    </w:p>
    <w:p w:rsidR="008F6CA3" w:rsidRDefault="008F6CA3" w:rsidP="00696F57">
      <w:pPr>
        <w:spacing w:line="240" w:lineRule="auto"/>
        <w:ind w:right="150" w:firstLine="1695"/>
        <w:jc w:val="both"/>
        <w:rPr>
          <w:rFonts w:ascii="Times New Roman" w:hAnsi="Times New Roman" w:cs="Times New Roman"/>
          <w:sz w:val="26"/>
          <w:szCs w:val="26"/>
        </w:rPr>
      </w:pPr>
    </w:p>
    <w:p w:rsidR="008F6CA3" w:rsidRDefault="008F6CA3" w:rsidP="00696F57">
      <w:pPr>
        <w:spacing w:line="240" w:lineRule="auto"/>
        <w:ind w:right="15"/>
        <w:jc w:val="both"/>
        <w:rPr>
          <w:rStyle w:val="eop"/>
          <w:rFonts w:cs="Arial"/>
          <w:b/>
          <w:sz w:val="26"/>
          <w:szCs w:val="26"/>
          <w:u w:val="single"/>
        </w:rPr>
      </w:pPr>
      <w:r>
        <w:rPr>
          <w:rFonts w:ascii="Times New Roman" w:hAnsi="Times New Roman" w:cs="Times New Roman"/>
          <w:b/>
          <w:sz w:val="26"/>
          <w:szCs w:val="26"/>
        </w:rPr>
        <w:t xml:space="preserve">2.4. </w:t>
      </w:r>
      <w:r>
        <w:rPr>
          <w:rStyle w:val="eop"/>
          <w:rFonts w:ascii="Times New Roman" w:hAnsi="Times New Roman"/>
          <w:b/>
          <w:sz w:val="26"/>
          <w:szCs w:val="26"/>
          <w:u w:val="single"/>
        </w:rPr>
        <w:t>Da aplicabilidade do Acórdão nº 2784/2016: ausência de determinação de revisão de atos</w:t>
      </w:r>
    </w:p>
    <w:p w:rsidR="008F6CA3" w:rsidRDefault="008F6CA3" w:rsidP="00696F57">
      <w:pPr>
        <w:spacing w:line="240" w:lineRule="auto"/>
        <w:ind w:right="15" w:firstLine="1701"/>
        <w:jc w:val="both"/>
        <w:rPr>
          <w:rStyle w:val="eop"/>
          <w:rFonts w:ascii="Times New Roman" w:hAnsi="Times New Roman"/>
          <w:sz w:val="26"/>
          <w:szCs w:val="26"/>
        </w:rPr>
      </w:pPr>
    </w:p>
    <w:p w:rsidR="008F6CA3" w:rsidRDefault="008F6CA3" w:rsidP="00696F57">
      <w:pPr>
        <w:spacing w:line="240" w:lineRule="auto"/>
        <w:ind w:right="15" w:firstLine="1701"/>
        <w:jc w:val="both"/>
        <w:rPr>
          <w:rStyle w:val="eop"/>
          <w:rFonts w:ascii="Times New Roman" w:hAnsi="Times New Roman"/>
          <w:sz w:val="26"/>
          <w:szCs w:val="26"/>
        </w:rPr>
      </w:pPr>
      <w:r>
        <w:rPr>
          <w:rStyle w:val="eop"/>
          <w:rFonts w:ascii="Times New Roman" w:hAnsi="Times New Roman"/>
          <w:sz w:val="26"/>
          <w:szCs w:val="26"/>
        </w:rPr>
        <w:t xml:space="preserve">Cumpre, ainda, chamar a atenção desta Administração para o seguinte fato: mesmo quando da fixação do (errôneo) entendimento no Acórdão nº 2784/2016, o Tribunal de Contas da União se deteve à análise de </w:t>
      </w:r>
      <w:r>
        <w:rPr>
          <w:rStyle w:val="eop"/>
          <w:rFonts w:ascii="Times New Roman" w:hAnsi="Times New Roman"/>
          <w:b/>
          <w:sz w:val="26"/>
          <w:szCs w:val="26"/>
        </w:rPr>
        <w:t>atos específicos de aposentadoria relacionados a determinados servidores</w:t>
      </w:r>
      <w:r>
        <w:rPr>
          <w:rStyle w:val="eop"/>
          <w:rFonts w:ascii="Times New Roman" w:hAnsi="Times New Roman"/>
          <w:sz w:val="26"/>
          <w:szCs w:val="26"/>
        </w:rPr>
        <w:t>, não advindo do referido processo nenhuma ordem que pudesse automaticamente ser estendida aos outros servidores.</w:t>
      </w:r>
    </w:p>
    <w:p w:rsidR="008F6CA3" w:rsidRDefault="008F6CA3" w:rsidP="00696F57">
      <w:pPr>
        <w:spacing w:line="240" w:lineRule="auto"/>
        <w:ind w:right="15" w:firstLine="1701"/>
        <w:jc w:val="both"/>
        <w:rPr>
          <w:rStyle w:val="eop"/>
          <w:rFonts w:ascii="Times New Roman" w:hAnsi="Times New Roman"/>
          <w:sz w:val="26"/>
          <w:szCs w:val="26"/>
        </w:rPr>
      </w:pPr>
    </w:p>
    <w:p w:rsidR="008F6CA3" w:rsidRDefault="008F6CA3" w:rsidP="00696F57">
      <w:pPr>
        <w:spacing w:line="240" w:lineRule="auto"/>
        <w:ind w:right="15" w:firstLine="1701"/>
        <w:jc w:val="both"/>
        <w:rPr>
          <w:rStyle w:val="eop"/>
          <w:rFonts w:ascii="Times New Roman" w:hAnsi="Times New Roman"/>
          <w:sz w:val="26"/>
          <w:szCs w:val="26"/>
        </w:rPr>
      </w:pPr>
      <w:r>
        <w:rPr>
          <w:rStyle w:val="eop"/>
          <w:rFonts w:ascii="Times New Roman" w:hAnsi="Times New Roman"/>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rsidR="008F6CA3" w:rsidRDefault="008F6CA3" w:rsidP="00696F57">
      <w:pPr>
        <w:spacing w:line="240" w:lineRule="auto"/>
        <w:ind w:right="15" w:firstLine="1701"/>
        <w:jc w:val="both"/>
        <w:rPr>
          <w:rStyle w:val="eop"/>
          <w:rFonts w:ascii="Times New Roman" w:hAnsi="Times New Roman"/>
          <w:sz w:val="26"/>
          <w:szCs w:val="26"/>
        </w:rPr>
      </w:pPr>
    </w:p>
    <w:p w:rsidR="008F6CA3" w:rsidRDefault="008F6CA3" w:rsidP="00696F57">
      <w:pPr>
        <w:spacing w:line="240" w:lineRule="auto"/>
        <w:ind w:right="15" w:firstLine="1701"/>
        <w:jc w:val="both"/>
        <w:rPr>
          <w:rStyle w:val="eop"/>
          <w:rFonts w:ascii="Times New Roman" w:hAnsi="Times New Roman"/>
          <w:sz w:val="26"/>
          <w:szCs w:val="26"/>
        </w:rPr>
      </w:pPr>
      <w:r>
        <w:rPr>
          <w:rStyle w:val="eop"/>
          <w:rFonts w:ascii="Times New Roman" w:hAnsi="Times New Roman"/>
          <w:sz w:val="26"/>
          <w:szCs w:val="26"/>
        </w:rPr>
        <w:t>Esta foi a conclusão a que se chegou no já mencionado parecer emitido em processo administrativo em trâmite no Tribunal Regional do Trabalho da 18ª Região:</w:t>
      </w:r>
    </w:p>
    <w:p w:rsidR="008F6CA3" w:rsidRDefault="008F6CA3" w:rsidP="00696F57">
      <w:pPr>
        <w:spacing w:line="240" w:lineRule="auto"/>
        <w:ind w:right="15" w:firstLine="1701"/>
        <w:jc w:val="both"/>
        <w:rPr>
          <w:rStyle w:val="eop"/>
          <w:rFonts w:ascii="Times New Roman" w:hAnsi="Times New Roman"/>
          <w:sz w:val="26"/>
          <w:szCs w:val="26"/>
        </w:rPr>
      </w:pPr>
    </w:p>
    <w:p w:rsidR="008F6CA3" w:rsidRDefault="008F6CA3" w:rsidP="00696F57">
      <w:pPr>
        <w:spacing w:line="240" w:lineRule="auto"/>
        <w:ind w:left="1701" w:right="15"/>
        <w:jc w:val="both"/>
        <w:rPr>
          <w:rStyle w:val="eop"/>
          <w:rFonts w:ascii="Times New Roman" w:hAnsi="Times New Roman"/>
          <w:sz w:val="26"/>
          <w:szCs w:val="26"/>
        </w:rPr>
      </w:pPr>
      <w:r>
        <w:rPr>
          <w:rFonts w:ascii="Times New Roman" w:hAnsi="Times New Roman"/>
        </w:rPr>
        <w:t>(...) 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w:t>
      </w:r>
    </w:p>
    <w:p w:rsidR="008F6CA3" w:rsidRDefault="008F6CA3" w:rsidP="00696F57">
      <w:pPr>
        <w:spacing w:line="240" w:lineRule="auto"/>
        <w:ind w:left="1701"/>
        <w:jc w:val="both"/>
        <w:rPr>
          <w:rFonts w:cs="Calibri"/>
          <w:lang w:eastAsia="ar-SA"/>
        </w:rPr>
      </w:pPr>
      <w:r>
        <w:rPr>
          <w:rFonts w:ascii="Times New Roman" w:hAnsi="Times New Roman"/>
          <w:b/>
          <w:u w:val="single"/>
        </w:rPr>
        <w:t>Registro ainda que na mencionada decisão, proferida por ocasião da apreciação da legalidade de atos de aposentadoria, não foi determinada a revisão das incorporações dos servidores ativos</w:t>
      </w:r>
      <w:r>
        <w:rPr>
          <w:rFonts w:ascii="Times New Roman" w:hAnsi="Times New Roman"/>
        </w:rPr>
        <w:t xml:space="preserve"> e tampouco dos inativos, </w:t>
      </w:r>
      <w:r>
        <w:rPr>
          <w:rFonts w:ascii="Times New Roman" w:hAnsi="Times New Roman"/>
          <w:b/>
        </w:rPr>
        <w:t>ficando circunscrita ao caso concreto, não obrigando, por conseguinte, os demais órgãos que estão sob sua fiscalização</w:t>
      </w:r>
      <w:r>
        <w:rPr>
          <w:rFonts w:ascii="Times New Roman" w:hAnsi="Times New Roman"/>
        </w:rPr>
        <w:t>. (grifou-se)</w:t>
      </w:r>
    </w:p>
    <w:p w:rsidR="008F6CA3" w:rsidRDefault="008F6CA3" w:rsidP="00696F57">
      <w:pPr>
        <w:spacing w:line="240" w:lineRule="auto"/>
        <w:ind w:right="15" w:firstLine="1701"/>
        <w:jc w:val="both"/>
        <w:rPr>
          <w:rStyle w:val="eop"/>
          <w:sz w:val="26"/>
          <w:szCs w:val="26"/>
        </w:rPr>
      </w:pPr>
    </w:p>
    <w:p w:rsidR="008F6CA3" w:rsidRDefault="008F6CA3" w:rsidP="00696F57">
      <w:pPr>
        <w:spacing w:line="240" w:lineRule="auto"/>
        <w:ind w:firstLine="1695"/>
        <w:jc w:val="both"/>
        <w:rPr>
          <w:rStyle w:val="eop"/>
          <w:rFonts w:ascii="Times New Roman" w:hAnsi="Times New Roman"/>
          <w:sz w:val="26"/>
          <w:szCs w:val="26"/>
        </w:rPr>
      </w:pPr>
      <w:r>
        <w:rPr>
          <w:rStyle w:val="eop"/>
          <w:rFonts w:ascii="Times New Roman" w:hAnsi="Times New Roman"/>
          <w:sz w:val="26"/>
          <w:szCs w:val="26"/>
        </w:rPr>
        <w:t xml:space="preserve">Em outros termos: </w:t>
      </w:r>
      <w:r>
        <w:rPr>
          <w:rFonts w:ascii="Times New Roman" w:hAnsi="Times New Roman" w:cs="Times New Roman"/>
          <w:sz w:val="26"/>
          <w:szCs w:val="26"/>
        </w:rPr>
        <w:t xml:space="preserve">o Acórdão nº 2784/2016, ainda que tenha apreciado a legalidade de atos de aposentadoria de alguns servidores, </w:t>
      </w:r>
      <w:r>
        <w:rPr>
          <w:rFonts w:ascii="Times New Roman" w:hAnsi="Times New Roman" w:cs="Times New Roman"/>
          <w:b/>
          <w:sz w:val="26"/>
          <w:szCs w:val="26"/>
        </w:rPr>
        <w:t>não determinou a revisão das incorporações dos servidores ativos, tampouco dos inativos, “</w:t>
      </w:r>
      <w:r>
        <w:rPr>
          <w:rFonts w:ascii="Times New Roman" w:hAnsi="Times New Roman" w:cs="Times New Roman"/>
          <w:b/>
          <w:sz w:val="26"/>
          <w:szCs w:val="26"/>
          <w:u w:val="single"/>
        </w:rPr>
        <w:t>ficando circunscrita ao caso concreto, não obrigando, por conseguinte, os demais órgãos que estão sob sua fiscalização</w:t>
      </w:r>
      <w:r>
        <w:rPr>
          <w:rFonts w:ascii="Times New Roman" w:hAnsi="Times New Roman" w:cs="Times New Roman"/>
          <w:sz w:val="26"/>
          <w:szCs w:val="26"/>
        </w:rPr>
        <w:t>”.</w:t>
      </w:r>
    </w:p>
    <w:p w:rsidR="008F6CA3" w:rsidRDefault="008F6CA3" w:rsidP="00696F57">
      <w:pPr>
        <w:spacing w:line="240" w:lineRule="auto"/>
        <w:ind w:right="15" w:firstLine="1701"/>
        <w:jc w:val="both"/>
        <w:rPr>
          <w:rStyle w:val="eop"/>
          <w:rFonts w:ascii="Times New Roman" w:hAnsi="Times New Roman"/>
          <w:sz w:val="26"/>
          <w:szCs w:val="26"/>
        </w:rPr>
      </w:pPr>
    </w:p>
    <w:p w:rsidR="008F6CA3" w:rsidRDefault="008F6CA3" w:rsidP="00696F57">
      <w:pPr>
        <w:spacing w:line="240" w:lineRule="auto"/>
        <w:ind w:right="15" w:firstLine="1701"/>
        <w:jc w:val="both"/>
        <w:rPr>
          <w:rStyle w:val="eop"/>
          <w:rFonts w:ascii="Times New Roman" w:hAnsi="Times New Roman"/>
          <w:sz w:val="26"/>
          <w:szCs w:val="26"/>
        </w:rPr>
      </w:pPr>
      <w:r>
        <w:rPr>
          <w:rStyle w:val="eop"/>
          <w:rFonts w:ascii="Times New Roman" w:hAnsi="Times New Roman"/>
          <w:sz w:val="26"/>
          <w:szCs w:val="26"/>
        </w:rPr>
        <w:t>Levando-se tais aspectos em consideração e tendo em vista o poder de autotutela da Administração Pública, deve este Tribunal, no exercício desse poder, entender pela legalidade da cumulação dos benefícios em questão, atentando-se para o fato de que inexiste ordem expressa no acórdão tomado como paradigma para que seja imposto qualquer corte em desfavor dos servidores.</w:t>
      </w:r>
    </w:p>
    <w:p w:rsidR="008F6CA3" w:rsidRDefault="008F6CA3" w:rsidP="00696F57">
      <w:pPr>
        <w:spacing w:line="240" w:lineRule="auto"/>
        <w:jc w:val="both"/>
        <w:rPr>
          <w:rFonts w:ascii="Quattrocento Sans" w:hAnsi="Quattrocento Sans" w:cs="Quattrocento Sans"/>
          <w:sz w:val="18"/>
          <w:szCs w:val="18"/>
        </w:rPr>
      </w:pPr>
      <w:r>
        <w:rPr>
          <w:rFonts w:ascii="Times New Roman" w:hAnsi="Times New Roman" w:cs="Times New Roman"/>
          <w:sz w:val="26"/>
          <w:szCs w:val="26"/>
        </w:rPr>
        <w:t> </w:t>
      </w:r>
    </w:p>
    <w:p w:rsidR="008F6CA3" w:rsidRDefault="008F6CA3" w:rsidP="00696F57">
      <w:pPr>
        <w:spacing w:line="240" w:lineRule="auto"/>
        <w:jc w:val="both"/>
        <w:rPr>
          <w:rFonts w:ascii="Quattrocento Sans" w:hAnsi="Quattrocento Sans" w:cs="Quattrocento Sans"/>
          <w:sz w:val="18"/>
          <w:szCs w:val="18"/>
          <w:u w:val="single"/>
        </w:rPr>
      </w:pPr>
      <w:r>
        <w:rPr>
          <w:rFonts w:ascii="Times New Roman" w:hAnsi="Times New Roman" w:cs="Times New Roman"/>
          <w:b/>
          <w:sz w:val="26"/>
          <w:szCs w:val="26"/>
        </w:rPr>
        <w:t>2.5. </w:t>
      </w:r>
      <w:r>
        <w:rPr>
          <w:rFonts w:ascii="Times New Roman" w:hAnsi="Times New Roman" w:cs="Times New Roman"/>
          <w:b/>
          <w:sz w:val="26"/>
          <w:szCs w:val="26"/>
          <w:u w:val="single"/>
        </w:rPr>
        <w:t>Do direito adquirido e da decadência administrativa</w:t>
      </w:r>
      <w:r>
        <w:rPr>
          <w:rFonts w:ascii="Times New Roman" w:hAnsi="Times New Roman" w:cs="Times New Roman"/>
          <w:sz w:val="26"/>
          <w:szCs w:val="26"/>
          <w:u w:val="single"/>
        </w:rPr>
        <w:t xml:space="preserve"> </w:t>
      </w:r>
    </w:p>
    <w:p w:rsidR="008F6CA3" w:rsidRDefault="008F6CA3" w:rsidP="00696F57">
      <w:pPr>
        <w:spacing w:line="240" w:lineRule="auto"/>
        <w:ind w:right="150" w:firstLine="1701"/>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Ainda, saliente-se que há direito adquirido do recorrente aos quintos incorporados com base no artigo 62 da Lei nº 8.112, de 1990; no artigo 3º da Lei nº 8.911, de 1994; no artigo 15 da Lei nº 9.421, de 1996, e nos regulamentos correspondentes que, embora revogados, tiveram seus efeitos mantidos pela lei revogadora, a qual transformou as parcelas incorporadas em VPNI, sujeita exclusivamente à revisão geral de remuneração.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Nesse sentido, garante a Constituição da República: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5º (...) XXXVI - a lei não prejudicará o direito adquirido, o ato jurídico perfeito e a coisa julgada;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No âmbito legislativo ordinário, o direito adquirido encontra proteção no § 2º do artigo 6º da LINDB: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6º (...) § 2º Consideram-se adquiridos assim os direitos que o seu titular, ou alguém por ele, possa exercer, como aqueles cujo começo do exercício tenha termo prefixo, ou condição preestabelecida inalterável, a arbítrio de outrem.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O direito à Gratificação de Atividade Externa (GAE), por sua vez, encontra-se previsto no artigo 16 da Lei 11.416, de 2006, e constitui parcela remuneratória própria da estrutura do cargo de Oficial de Justiça Avaliador Federal. </w:t>
      </w:r>
    </w:p>
    <w:p w:rsidR="008F6CA3" w:rsidRDefault="008F6CA3" w:rsidP="00696F57">
      <w:pPr>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No caso do recorrente, tanto os quintos incorporados, transformados em VPNI, quanto a GAE, são pagos, cumulativamente, há mais de 5 (cinco) anos, de forma contínua e ininterrupta. Logo, já transcorreu o prazo decadencial previsto no parágrafo primeiro do artigo 54 da Lei 9.784/99: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54. O direito da Administração de anular os atos administrativos de que decorram efeitos favoráveis para os destinatários decai em cinco anos, </w:t>
      </w:r>
      <w:r>
        <w:rPr>
          <w:rFonts w:ascii="Times New Roman" w:hAnsi="Times New Roman" w:cs="Times New Roman"/>
          <w:b/>
        </w:rPr>
        <w:t>contados da data em que foram praticados</w:t>
      </w:r>
      <w:r>
        <w:rPr>
          <w:rFonts w:ascii="Times New Roman" w:hAnsi="Times New Roman" w:cs="Times New Roman"/>
        </w:rPr>
        <w:t xml:space="preserve">, salvo comprovada má-fé.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1º No caso de efeitos patrimoniais contínuos, </w:t>
      </w:r>
      <w:r>
        <w:rPr>
          <w:rFonts w:ascii="Times New Roman" w:hAnsi="Times New Roman" w:cs="Times New Roman"/>
          <w:b/>
        </w:rPr>
        <w:t>o prazo de decadência contar-se-á da percepção do primeiro pagamento</w:t>
      </w:r>
      <w:r>
        <w:rPr>
          <w:rFonts w:ascii="Times New Roman" w:hAnsi="Times New Roman" w:cs="Times New Roman"/>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2º Considera-se exercício do direito de anular qualquer medida de autoridade administrativa que importe impugnação à validade do ato.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Assim, tendo em vista que a exclusão de parcela remuneratória (VPNI ou GAE) que se pretende implementar é posterior ao prazo decadencial estabelecido pelo artigo 54 da Lei 9.784, de 1999, não deve ser imposta qualquer necessidade de escolha entre uma ou outra parcela.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É assim porque a referida Lei estabelece, de modo expresso, que o prazo decadencial tem seu início a partir do momento em que o direito for implementado, redação a qual a jurisprudência tem dado amplo acolhimento, como se vê nas ementas abaixo: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highlight w:val="white"/>
        </w:rPr>
        <w:t>ADMINISTRATIVO. SERVIDOR PÚBLICO. APOSENTADORIA. CONTAGEM DE TEMPO. IRREGULARIDADE APURADA PELO TRIBUNAL DE CONTAS DA UNIÃO. REVISÃO DO ATO. PRAZO DECADENCIAL. ART. 54 DA LEI N. 9.784/99. TERMO INICIAL</w:t>
      </w:r>
      <w:r>
        <w:rPr>
          <w:rFonts w:ascii="Times New Roman" w:hAnsi="Times New Roman" w:cs="Times New Roman"/>
          <w:highlight w:val="white"/>
        </w:rPr>
        <w:t xml:space="preserve">. 1. A aposentadoria de servidor público não é ato complexo, pois não se conjugam as vontades da Administração e do Tribunal de Contas para concede-la. São atos distintos e praticados no manejo de competências igualmente diversas, na medida em que a primeira concede e o segundo controla sua legalidade. 2. </w:t>
      </w:r>
      <w:r>
        <w:rPr>
          <w:rFonts w:ascii="Times New Roman" w:hAnsi="Times New Roman" w:cs="Times New Roman"/>
          <w:b/>
          <w:highlight w:val="white"/>
        </w:rPr>
        <w:t>O art. 54 da Lei n. 9.784/99 vem a consolidar o princípio da segurança jurídica dentro do processo administrativo, tendo por precípua finalidade a obtenção de um estado de coisas que enseje estabilidade e previsibilidade dos atos</w:t>
      </w:r>
      <w:r>
        <w:rPr>
          <w:rFonts w:ascii="Times New Roman" w:hAnsi="Times New Roman" w:cs="Times New Roman"/>
          <w:highlight w:val="white"/>
        </w:rPr>
        <w:t>.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(REsp 1047524/SC, Rel. Ministro JORGE MUSSI, QUINTA TURMA, julgado em 16/06/2009, DJe 03/08/2009)</w:t>
      </w:r>
      <w:r>
        <w:rPr>
          <w:rFonts w:ascii="Times New Roman" w:hAnsi="Times New Roman" w:cs="Times New Roman"/>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rPr>
        <w:t>ADMINISTRATIVO - MANDADO DE SEGURANÇA PREVENTIVO - FUNCIONÁRIOS DA CONAB - ANISTIA - REVISÃO DOS ATOS - IMPOSSIBILIDADE - PRESCRIÇÃO ADMINISTRATIVA – § 1º, DO ART. 54, DA LEI 9.784/99 - SEGURANÇA CONCEDIDA</w:t>
      </w:r>
      <w:r>
        <w:rPr>
          <w:rFonts w:ascii="Times New Roman" w:hAnsi="Times New Roman" w:cs="Times New Roman"/>
        </w:rPr>
        <w:t xml:space="preserve">.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parág. 1º, da Lei nº 9.784/99, </w:t>
      </w:r>
      <w:r>
        <w:rPr>
          <w:rFonts w:ascii="Times New Roman" w:hAnsi="Times New Roman" w:cs="Times New Roman"/>
          <w:b/>
        </w:rPr>
        <w:t>o prazo decadencial para anulação dos atos administrativos é de 05 (cinco) anos da percepção do primeiro pagamento</w:t>
      </w:r>
      <w:r>
        <w:rPr>
          <w:rFonts w:ascii="Times New Roman" w:hAnsi="Times New Roman" w:cs="Times New Roman"/>
        </w:rPr>
        <w:t xml:space="preserve">. No mesmo sentido, precedentes desta Corte (MS nºs 7.455/DF, Rel. Ministro VICENTE LEAL, DJU de 18.03.2002 e 6.566/DF, Rel. 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prescritibilidade dos atos administrativos. 3 – Segurança concedida para afastar eventual desconstituição do atos de anistia em benefício dos impetrantes, determinando suas manutenções no serviço público federal. Custas ex lege. Honorários advocatícios incabíveis, nos termos das Súmulas 512/STF e 105/STJ. (STJ, Terceira Seção, MS 7436, Rel. Min. Jorge Scartezzini, DJ 17/02/2003)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O Supremo Tribunal Federal também se posiciona pela manutenção dos atos administrativos quando decorridos cinco anos da produção de seus efeitos, em razão do artigo 54 da Lei 9.784, de 1999: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rPr>
        <w:t>MANDADO DE SEGURANÇA. TRIBUNAL DE CONTAS DA UNIÃO. ANULAÇÃO DE ASCENSÕES FUNCIONAIS CONCEDIDAS AOS EMPREGADOS DA ECT. DECADÊNCIA DO DIREITO DE REVER A LEGALIDADE DAS ASCENSÕES. NECESSIDADE DE AS PARTES ATINGIDAS PELO ATO COATOR INTEGRAREM A LIDE</w:t>
      </w:r>
      <w:r>
        <w:rPr>
          <w:rFonts w:ascii="Times New Roman" w:hAnsi="Times New Roman" w:cs="Times New Roman"/>
        </w:rPr>
        <w:t xml:space="preserve">.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3.Precedentes. 3. Mandado de segurança concedido. (MS 26393, Relator(a): Min. CÁRMEN LÚCIA, Tribunal Pleno, julgado em 29/10/2009, DJe-030)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Dessa forma, houve a decadência do direito da administração de anular a incorporação dos quintos que tenham origem na GRG ou FC-5, assim também do direito de anular a implementação da GAE, e o pagamento cumulativo das duas vantagens, sempre que o primeiro pagamento cumulativo tenha se verificado há mais de cinco anos.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8F6CA3" w:rsidRDefault="008F6CA3" w:rsidP="00696F57">
      <w:pPr>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Em virtude da decadência administrativa e da continuidade do pagamento, também advém o dever de manutenção do </w:t>
      </w:r>
      <w:r>
        <w:rPr>
          <w:rFonts w:ascii="Times New Roman" w:hAnsi="Times New Roman" w:cs="Times New Roman"/>
          <w:i/>
          <w:sz w:val="26"/>
          <w:szCs w:val="26"/>
        </w:rPr>
        <w:t>status quo ante</w:t>
      </w:r>
      <w:r>
        <w:rPr>
          <w:rFonts w:ascii="Times New Roman" w:hAnsi="Times New Roman" w:cs="Times New Roman"/>
          <w:sz w:val="26"/>
          <w:szCs w:val="26"/>
        </w:rPr>
        <w:t>, consoante o qual deve ser mantida a percepção do pagamento da VPNI oriunda de quintos incorporados, cumulativamente com a GAE, ambas incorporadas à remuneração dos servidores.</w:t>
      </w:r>
    </w:p>
    <w:p w:rsidR="008F6CA3" w:rsidRDefault="008F6CA3" w:rsidP="00696F57">
      <w:pPr>
        <w:spacing w:line="240" w:lineRule="auto"/>
        <w:ind w:right="150"/>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2.6. </w:t>
      </w:r>
      <w:r>
        <w:rPr>
          <w:rFonts w:ascii="Times New Roman" w:hAnsi="Times New Roman" w:cs="Times New Roman"/>
          <w:b/>
          <w:sz w:val="26"/>
          <w:szCs w:val="26"/>
          <w:u w:val="single"/>
        </w:rPr>
        <w:t>Da irredutibilidade</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pStyle w:val="paragraph"/>
        <w:spacing w:before="0" w:beforeAutospacing="0" w:after="0" w:afterAutospacing="0"/>
        <w:ind w:firstLine="1695"/>
        <w:jc w:val="both"/>
        <w:textAlignment w:val="baseline"/>
        <w:rPr>
          <w:rStyle w:val="eop"/>
          <w:sz w:val="26"/>
          <w:szCs w:val="26"/>
        </w:rPr>
      </w:pPr>
    </w:p>
    <w:p w:rsidR="008F6CA3" w:rsidRDefault="008F6CA3" w:rsidP="00696F57">
      <w:pPr>
        <w:spacing w:line="240" w:lineRule="auto"/>
        <w:ind w:firstLine="1701"/>
        <w:jc w:val="both"/>
        <w:rPr>
          <w:rFonts w:ascii="Times New Roman" w:hAnsi="Times New Roman" w:cs="Times New Roman"/>
          <w:bCs/>
        </w:rPr>
      </w:pPr>
      <w:r>
        <w:rPr>
          <w:rFonts w:ascii="Times New Roman" w:hAnsi="Times New Roman" w:cs="Times New Roman"/>
          <w:bCs/>
          <w:sz w:val="26"/>
          <w:szCs w:val="26"/>
        </w:rPr>
        <w:t>O inciso XV do artigo 37 da Constituição da República dispõe sobre o direito de irredutibilidade dos vencimentos dos servidores públicos:</w:t>
      </w:r>
    </w:p>
    <w:p w:rsidR="008F6CA3" w:rsidRDefault="008F6CA3" w:rsidP="00696F57">
      <w:pPr>
        <w:spacing w:line="240" w:lineRule="auto"/>
        <w:ind w:firstLine="1701"/>
        <w:jc w:val="both"/>
        <w:rPr>
          <w:rFonts w:ascii="Times New Roman" w:hAnsi="Times New Roman" w:cs="Times New Roman"/>
          <w:bCs/>
          <w:sz w:val="26"/>
          <w:szCs w:val="26"/>
        </w:rPr>
      </w:pP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 XV - o subsídio e os vencimentos dos ocupantes de cargos e empregos públicos são irredutíveis, ressalvado o disposto nos incisos XI e XIV deste artigo e nos arts. 39, § 4º, 150, II, 153, III, e 153, § 2º, I;</w:t>
      </w:r>
    </w:p>
    <w:p w:rsidR="008F6CA3" w:rsidRDefault="008F6CA3" w:rsidP="00696F57">
      <w:pPr>
        <w:autoSpaceDN w:val="0"/>
        <w:spacing w:line="240" w:lineRule="auto"/>
        <w:ind w:left="1701"/>
        <w:jc w:val="both"/>
        <w:rPr>
          <w:rFonts w:ascii="Times New Roman" w:hAnsi="Times New Roman" w:cs="Times New Roman"/>
          <w:kern w:val="3"/>
          <w:sz w:val="26"/>
          <w:szCs w:val="26"/>
          <w:lang w:eastAsia="pt-BR"/>
        </w:rPr>
      </w:pPr>
    </w:p>
    <w:p w:rsidR="008F6CA3" w:rsidRDefault="008F6CA3" w:rsidP="00696F57">
      <w:pPr>
        <w:spacing w:line="240" w:lineRule="auto"/>
        <w:ind w:firstLine="1701"/>
        <w:jc w:val="both"/>
        <w:rPr>
          <w:rFonts w:ascii="Times New Roman" w:hAnsi="Times New Roman" w:cs="Times New Roman"/>
          <w:sz w:val="26"/>
          <w:szCs w:val="26"/>
          <w:lang w:eastAsia="ar-SA"/>
        </w:rPr>
      </w:pPr>
      <w:r>
        <w:rPr>
          <w:rFonts w:ascii="Times New Roman" w:hAnsi="Times New Roman" w:cs="Times New Roman"/>
          <w:sz w:val="26"/>
          <w:szCs w:val="26"/>
        </w:rPr>
        <w:t>Esse direito de não redução da remuneração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rPr>
      </w:pPr>
      <w:r>
        <w:rPr>
          <w:rFonts w:ascii="Times New Roman" w:hAnsi="Times New Roman" w:cs="Times New Roman"/>
        </w:rPr>
        <w:t>DIREITO ADMINISTRATIVO. AGRAVO REGIMENTAL EM RECURSO EXTRAORDINÁRIO. SERVIDOR PÚBLICO. EXERCÍCIO DE CARGO DE DIREÇÃO. REDUÇÃO DO PERCENTUAL DE OPÇÃO. OFENSA À IRREDUTIBILIDADE DE VENCIMENTOS. SÚMULA 279/STF. 1. A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dissentir do entendimento do Tribunal de origem, acerca da ocorrência de decesso remuneratório, seria necessário o reexame dos fatos e provas constantes dos autos. Incidência da Súmula 279/STF. 3. Agravo regimental a que se nega provimento. (RE 518956 AgR, Relator(a): Min. ROBERTO BARROSO, Primeira Turma, julgado em 06/10/2015, ACÓRDÃO ELETRÔNICO DJe-216 DIVULG 27-10-2015 PUBLIC 28-10-2015)</w:t>
      </w:r>
    </w:p>
    <w:p w:rsidR="008F6CA3" w:rsidRDefault="008F6CA3" w:rsidP="00696F57">
      <w:pPr>
        <w:pStyle w:val="paragraph"/>
        <w:spacing w:before="0" w:beforeAutospacing="0" w:after="0" w:afterAutospacing="0"/>
        <w:ind w:firstLine="1695"/>
        <w:jc w:val="both"/>
        <w:textAlignment w:val="baseline"/>
        <w:rPr>
          <w:rStyle w:val="eop"/>
          <w:sz w:val="26"/>
          <w:szCs w:val="26"/>
        </w:rPr>
      </w:pPr>
    </w:p>
    <w:p w:rsidR="008F6CA3" w:rsidRDefault="008F6CA3" w:rsidP="00696F57">
      <w:pPr>
        <w:pStyle w:val="paragraph"/>
        <w:spacing w:before="0" w:beforeAutospacing="0" w:after="0" w:afterAutospacing="0"/>
        <w:ind w:firstLine="1695"/>
        <w:jc w:val="both"/>
        <w:textAlignment w:val="baseline"/>
        <w:rPr>
          <w:rStyle w:val="eop"/>
          <w:sz w:val="26"/>
          <w:szCs w:val="26"/>
        </w:rPr>
      </w:pPr>
      <w:r>
        <w:rPr>
          <w:rStyle w:val="eop"/>
          <w:sz w:val="26"/>
          <w:szCs w:val="26"/>
        </w:rPr>
        <w:t>Assim, os servidores possuem a garantia de que seus vencimentos não sofrerão redução. Soma-se a isso o fato de já possuir a gratificação por mais de 5 anos incorporada, fazendo com que a repercussão também nos proventos seja uma decorrência legal, conforme o § 11 do artigo 201, combinado com o § 12 do artigo 40, ambos da Constituição</w:t>
      </w:r>
      <w:r>
        <w:rPr>
          <w:rStyle w:val="FootnoteReference"/>
          <w:sz w:val="26"/>
          <w:szCs w:val="26"/>
        </w:rPr>
        <w:footnoteReference w:id="14"/>
      </w:r>
      <w:r>
        <w:rPr>
          <w:rStyle w:val="eop"/>
          <w:sz w:val="26"/>
          <w:szCs w:val="26"/>
        </w:rPr>
        <w:t>.</w:t>
      </w:r>
    </w:p>
    <w:p w:rsidR="008F6CA3" w:rsidRDefault="008F6CA3" w:rsidP="00696F57">
      <w:pPr>
        <w:pStyle w:val="paragraph"/>
        <w:spacing w:before="0" w:beforeAutospacing="0" w:after="0" w:afterAutospacing="0"/>
        <w:ind w:firstLine="1695"/>
        <w:jc w:val="both"/>
        <w:textAlignment w:val="baseline"/>
        <w:rPr>
          <w:rStyle w:val="eop"/>
          <w:sz w:val="26"/>
          <w:szCs w:val="26"/>
        </w:rPr>
      </w:pPr>
    </w:p>
    <w:p w:rsidR="008F6CA3" w:rsidRDefault="008F6CA3" w:rsidP="00696F57">
      <w:pPr>
        <w:pStyle w:val="paragraph"/>
        <w:spacing w:before="0" w:beforeAutospacing="0" w:after="0" w:afterAutospacing="0"/>
        <w:ind w:firstLine="1695"/>
        <w:jc w:val="both"/>
        <w:textAlignment w:val="baseline"/>
        <w:rPr>
          <w:rStyle w:val="eop"/>
          <w:sz w:val="26"/>
          <w:szCs w:val="26"/>
        </w:rPr>
      </w:pPr>
      <w:r>
        <w:rPr>
          <w:rStyle w:val="eop"/>
          <w:sz w:val="26"/>
          <w:szCs w:val="26"/>
        </w:rPr>
        <w:t>Dessa forma, os servidores possuem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Calibri"/>
          <w:b/>
          <w:bCs/>
          <w:sz w:val="26"/>
          <w:szCs w:val="26"/>
          <w:lang w:eastAsia="ar-SA"/>
        </w:rPr>
      </w:pPr>
      <w:r>
        <w:rPr>
          <w:rFonts w:ascii="Times New Roman" w:hAnsi="Times New Roman" w:cs="Times New Roman"/>
          <w:b/>
          <w:sz w:val="26"/>
          <w:szCs w:val="26"/>
        </w:rPr>
        <w:t xml:space="preserve">2.7. </w:t>
      </w:r>
      <w:r>
        <w:rPr>
          <w:rFonts w:ascii="Times New Roman" w:hAnsi="Times New Roman"/>
          <w:b/>
          <w:bCs/>
          <w:sz w:val="26"/>
          <w:szCs w:val="26"/>
          <w:u w:val="single"/>
        </w:rPr>
        <w:t>Da parcela compensatória: absorção por reajustes futuros</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Ainda que não se reconheça a legalidade da cumulação da GAE com a VPNI de quintos, deve ser levada em consideração a </w:t>
      </w:r>
      <w:r>
        <w:rPr>
          <w:rFonts w:ascii="Times New Roman" w:hAnsi="Times New Roman" w:cs="Times New Roman"/>
          <w:b/>
          <w:sz w:val="26"/>
          <w:szCs w:val="26"/>
        </w:rPr>
        <w:t xml:space="preserve">parcela compensatória </w:t>
      </w:r>
      <w:r>
        <w:rPr>
          <w:rFonts w:ascii="Times New Roman" w:hAnsi="Times New Roman" w:cs="Times New Roman"/>
          <w:sz w:val="26"/>
          <w:szCs w:val="26"/>
        </w:rPr>
        <w:t>instituída</w:t>
      </w:r>
      <w:r>
        <w:rPr>
          <w:rFonts w:ascii="Times New Roman" w:hAnsi="Times New Roman" w:cs="Times New Roman"/>
          <w:b/>
          <w:sz w:val="26"/>
          <w:szCs w:val="26"/>
        </w:rPr>
        <w:t xml:space="preserve"> </w:t>
      </w:r>
      <w:r>
        <w:rPr>
          <w:rFonts w:ascii="Times New Roman" w:hAnsi="Times New Roman" w:cs="Times New Roman"/>
          <w:sz w:val="26"/>
          <w:szCs w:val="26"/>
        </w:rPr>
        <w:t>como modo de procedimento do próprio Tribunal de Contas da União, para privilegiar a boa-fé dos servidores que a recebem, conforme restou decidido no Acórdão nº 2988/2018 (anexo 9), conforme se depreende dos seguintes trechos:</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701" w:right="15"/>
        <w:jc w:val="both"/>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b/>
        </w:rPr>
        <w:t>Em respeito ao princípio da segurança jurídica, proponho que seja 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vantagem prevista no art. 62-A da Lei 8.112/90</w:t>
      </w:r>
      <w:r>
        <w:rPr>
          <w:rFonts w:ascii="Times New Roman" w:hAnsi="Times New Roman" w:cs="Times New Roman"/>
        </w:rPr>
        <w:t xml:space="preserve">. (...) 3. Diante disso, em seu voto revisor, o ministro Benjamin Zymler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servidores, que vêm recebendo os valores da “opção” de boa-fé venham a sofrer uma redução imediata de seus estipêndios, mas não perpetua a irregularidade dos pagamentos. </w:t>
      </w:r>
      <w:r>
        <w:rPr>
          <w:rFonts w:ascii="Times New Roman" w:hAnsi="Times New Roman" w:cs="Times New Roman"/>
          <w:b/>
        </w:rPr>
        <w:t>Uma vez que existe uma relação de trato sucessivo, as alterações futuras da estrutura remuneratória deverão absorver o pagamento da parcela considerada irregular</w:t>
      </w:r>
      <w:r>
        <w:rPr>
          <w:rFonts w:ascii="Times New Roman" w:hAnsi="Times New Roman" w:cs="Times New Roman"/>
        </w:rPr>
        <w:t>. 30. Assim, a modulação proposta busca evitar um impacto imediato nos proventos dos servidores, sem, contudo, perpetuar a ilegalidade que vem sendo cometida, em perfeita consonância com a LINDB e o Decreto-lei 200/1967” (Plenário do Tribunal de Contas da União Acórdão 2.988/2018 Relator: Ministro Benjamin Zymler, julgado em 12.12.2018)</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Pr>
          <w:rFonts w:ascii="Times New Roman" w:hAnsi="Times New Roman" w:cs="Times New Roman"/>
          <w:b/>
          <w:sz w:val="26"/>
          <w:szCs w:val="26"/>
        </w:rPr>
        <w:t>absorvida pelos reajustes remuneratórios futuros</w:t>
      </w:r>
      <w:r>
        <w:rPr>
          <w:rFonts w:ascii="Times New Roman" w:hAnsi="Times New Roman" w:cs="Times New Roman"/>
          <w:sz w:val="26"/>
          <w:szCs w:val="26"/>
        </w:rPr>
        <w:t>.</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Como se verifica do mencionado acórdão, o Tribunal de Contas da União, no que se refere a servidores do seu quadro de pessoal, observou a segurança jurídica e </w:t>
      </w:r>
      <w:r>
        <w:rPr>
          <w:rFonts w:ascii="Times New Roman" w:hAnsi="Times New Roman" w:cs="Times New Roman"/>
          <w:b/>
          <w:sz w:val="26"/>
          <w:szCs w:val="26"/>
        </w:rPr>
        <w:t>somente determinou absorção da parcela pelos reajustes vindouros</w:t>
      </w:r>
      <w:r>
        <w:rPr>
          <w:rFonts w:ascii="Times New Roman" w:hAnsi="Times New Roman" w:cs="Times New Roman"/>
          <w:sz w:val="26"/>
          <w:szCs w:val="26"/>
        </w:rPr>
        <w:t>, como não poderia deixar de ser, já que há impropriedade na pretensão de retroagir entendimento para haver compensação com reajustes pretéritos.</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Contudo, no que tange aos Oficiais de Justiça Avaliadores Federais, o entendimento é diverso e mais gravoso, tendo a Corte orientado os tribunais regionais a implementarem a absorção de forma retroativa, conforme sugere o novo procedimento de apuração:</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Pr>
          <w:rFonts w:ascii="Times New Roman" w:hAnsi="Times New Roman" w:cs="Times New Roman"/>
          <w:b/>
        </w:rPr>
        <w:t>a ser absorvida por ocasião</w:t>
      </w:r>
      <w:r>
        <w:rPr>
          <w:rFonts w:ascii="Times New Roman" w:hAnsi="Times New Roman" w:cs="Times New Roman"/>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Pr>
          <w:rFonts w:ascii="Times New Roman" w:hAnsi="Times New Roman" w:cs="Times New Roman"/>
          <w:b/>
        </w:rPr>
        <w:t>A compensação deve retroagir aos últimos 5 anos, em observância à decadência administrativa. Eventuais aumentos salariais ocorridos nesse período devem promover a correspondente redução das referidas parcelas irregulares, até a sua completa extinção</w:t>
      </w:r>
      <w:r>
        <w:rPr>
          <w:rFonts w:ascii="Times New Roman" w:hAnsi="Times New Roman" w:cs="Times New Roman"/>
        </w:rPr>
        <w:t>. (grifou-se)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Ora, ao criar esse novo entendimento da parcela compensatória, o TCU determinou que a compensação deve retroagir 5 (cinco) anos abarcando os reajustes anteriores, violando, além da isonomia com os demais servidores (já que para o seu quadro de pessoal a compensação é futura), o artigo 24 da Lei de Introdução às normas de Direito Brasileiro – LINDB, </w:t>
      </w:r>
      <w:r>
        <w:rPr>
          <w:rFonts w:ascii="Times New Roman" w:hAnsi="Times New Roman" w:cs="Times New Roman"/>
          <w:b/>
          <w:sz w:val="26"/>
          <w:szCs w:val="26"/>
        </w:rPr>
        <w:t>pois não é possível a aplicação de revisão controladora em que se considera ilegal situação plenamente constituída</w:t>
      </w:r>
      <w:r>
        <w:rPr>
          <w:rFonts w:ascii="Times New Roman" w:hAnsi="Times New Roman" w:cs="Times New Roman"/>
          <w:sz w:val="26"/>
          <w:szCs w:val="26"/>
        </w:rPr>
        <w:t>:</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left="1695"/>
        <w:jc w:val="both"/>
        <w:rPr>
          <w:rFonts w:ascii="Times New Roman" w:hAnsi="Times New Roman" w:cs="Times New Roman"/>
        </w:rPr>
      </w:pPr>
      <w:r>
        <w:rPr>
          <w:rFonts w:ascii="Times New Roman" w:hAnsi="Times New Roman" w:cs="Times New Roman"/>
        </w:rPr>
        <w:t xml:space="preserve">Art. 24.  </w:t>
      </w:r>
      <w:r>
        <w:rPr>
          <w:rFonts w:ascii="Times New Roman" w:hAnsi="Times New Roman" w:cs="Times New Roman"/>
          <w:b/>
        </w:rPr>
        <w:t xml:space="preserve">A revisão, nas esferas administrativa, controladora </w:t>
      </w:r>
      <w:r>
        <w:rPr>
          <w:rFonts w:ascii="Times New Roman" w:hAnsi="Times New Roman" w:cs="Times New Roman"/>
        </w:rPr>
        <w:t xml:space="preserve">ou judicial, quanto à validade de ato, contrato, ajuste, processo ou norma administrativa cuja produção já se houver completado levará em conta as orientações gerais da época, </w:t>
      </w:r>
      <w:r>
        <w:rPr>
          <w:rFonts w:ascii="Times New Roman" w:hAnsi="Times New Roman" w:cs="Times New Roman"/>
          <w:b/>
        </w:rPr>
        <w:t xml:space="preserve">sendo vedado que, com base em mudança posterior de orientação geral, se declarem inválidas situações plenamente constituídas. </w:t>
      </w:r>
      <w:r>
        <w:rPr>
          <w:rFonts w:ascii="Times New Roman" w:hAnsi="Times New Roman" w:cs="Times New Roman"/>
        </w:rPr>
        <w:t>(grifou-se)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Calibri"/>
          <w:sz w:val="26"/>
          <w:szCs w:val="26"/>
          <w:lang w:eastAsia="ar-SA"/>
        </w:rPr>
      </w:pPr>
      <w:r>
        <w:rPr>
          <w:rFonts w:ascii="Times New Roman" w:hAnsi="Times New Roman"/>
          <w:sz w:val="26"/>
          <w:szCs w:val="26"/>
        </w:rPr>
        <w:t>Também é violado o artigo 23 da referida norma, pois o corte abrupto aplica nova interpretação sem prever qualquer regime de transição ou proteger aqueles que já haviam preenchido os requisitos para percepção das parcelas:</w:t>
      </w:r>
    </w:p>
    <w:p w:rsidR="008F6CA3" w:rsidRDefault="008F6CA3" w:rsidP="00696F57">
      <w:pPr>
        <w:spacing w:line="240" w:lineRule="auto"/>
        <w:ind w:right="15" w:firstLine="1695"/>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Dessa forma, não pode o Tribunal de Contas da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rsidR="008F6CA3" w:rsidRDefault="008F6CA3" w:rsidP="00696F57">
      <w:pPr>
        <w:spacing w:line="240" w:lineRule="auto"/>
        <w:ind w:right="15" w:firstLine="1695"/>
        <w:jc w:val="both"/>
        <w:rPr>
          <w:rFonts w:ascii="Times New Roman" w:hAnsi="Times New Roman" w:cs="Times New Roman"/>
          <w:sz w:val="26"/>
          <w:szCs w:val="26"/>
        </w:rPr>
      </w:pPr>
    </w:p>
    <w:p w:rsidR="008F6CA3" w:rsidRDefault="008F6CA3" w:rsidP="00696F57">
      <w:pPr>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 impossibilidade de os efeitos retroagirem também vai ao encontro do recente julgamento dos Embargos de Declaração no Recurso Extraordinário nº 638.115, no qual o Supremo entendeu ser indevida a cessação imediata do pagamento de quintos, garantindo a modulação a fim de que a parcela seja mantida até a absorção por reajustes futuros:</w:t>
      </w:r>
    </w:p>
    <w:p w:rsidR="008F6CA3" w:rsidRDefault="008F6CA3" w:rsidP="00696F57">
      <w:pPr>
        <w:spacing w:line="240" w:lineRule="auto"/>
        <w:ind w:right="15" w:firstLine="1701"/>
        <w:jc w:val="both"/>
        <w:rPr>
          <w:rFonts w:ascii="Times New Roman" w:hAnsi="Times New Roman" w:cs="Times New Roman"/>
          <w:sz w:val="26"/>
          <w:szCs w:val="26"/>
        </w:rPr>
      </w:pPr>
    </w:p>
    <w:p w:rsidR="008F6CA3" w:rsidRDefault="008F6CA3" w:rsidP="00696F57">
      <w:pPr>
        <w:spacing w:line="240" w:lineRule="auto"/>
        <w:ind w:left="1701"/>
        <w:jc w:val="both"/>
        <w:rPr>
          <w:rFonts w:ascii="Times New Roman" w:hAnsi="Times New Roman" w:cs="Times New Roman"/>
          <w:lang w:eastAsia="en-US"/>
        </w:rPr>
      </w:pPr>
      <w:r>
        <w:rPr>
          <w:rFonts w:ascii="Times New Roman" w:hAnsi="Times New Roman" w:cs="Times New Roman"/>
          <w:lang w:eastAsia="en-US"/>
        </w:rPr>
        <w:t xml:space="preserve">O Tribunal, por maioria, acolheu parcialmente os embargos de declaração, com efeitos infringentes, para reconhecer indevida a cessação imediata do pagamento dos quintos quando fundado em decisão judicial transitada em julgado, vencida a Ministra Rosa Weber, que rejeitava os embargos. No ponto relativo ao </w:t>
      </w:r>
      <w:r>
        <w:rPr>
          <w:rFonts w:ascii="Times New Roman" w:hAnsi="Times New Roman" w:cs="Times New Roman"/>
          <w:b/>
          <w:bCs/>
          <w:lang w:eastAsia="en-US"/>
        </w:rPr>
        <w:t>recebimento dos quintos em virtude de decisões administrativas</w:t>
      </w:r>
      <w:r>
        <w:rPr>
          <w:rFonts w:ascii="Times New Roman" w:hAnsi="Times New Roman" w:cs="Times New Roman"/>
          <w:lang w:eastAsia="en-US"/>
        </w:rPr>
        <w:t xml:space="preserve">, o Tribunal, em razão de voto médio, rejeitou os embargos e, reconhecendo a ilegitimidade do pagamento dos quintos, </w:t>
      </w:r>
      <w:r>
        <w:rPr>
          <w:rFonts w:ascii="Times New Roman" w:hAnsi="Times New Roman" w:cs="Times New Roman"/>
          <w:b/>
          <w:bCs/>
          <w:lang w:eastAsia="en-US"/>
        </w:rPr>
        <w:t xml:space="preserve">modulou os efeitos da decisão de modo que aqueles que continuam recebendo até a presente data em razão de decisão administrativa tenham o pagamento mantido até sua absorção integral por quaisquer reajustes futuros concedidos aos servidores. </w:t>
      </w:r>
      <w:r>
        <w:rPr>
          <w:rFonts w:ascii="Times New Roman" w:hAnsi="Times New Roman" w:cs="Times New Roman"/>
          <w:lang w:eastAsia="en-US"/>
        </w:rPr>
        <w:t>Os Ministros Ricardo Lewandowski e Celso de Mello proviam os embargos de declaração e modulavam os efeitos da decisão em maior extensão. Ficaram vencidos, nesse ponto, os Ministros Marco Aurélio e Rosa Weber. Por fim,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vencidos os Ministros Marco Aurélio e Rosa Weber. Tudo nos termos do voto do Relator. Afirmaram suspeição os Ministros Luiz Fux e Roberto Barroso. (grifou-se)</w:t>
      </w:r>
    </w:p>
    <w:p w:rsidR="008F6CA3" w:rsidRDefault="008F6CA3" w:rsidP="00696F57">
      <w:pPr>
        <w:spacing w:line="240" w:lineRule="auto"/>
        <w:ind w:left="1701"/>
        <w:jc w:val="both"/>
        <w:rPr>
          <w:rFonts w:ascii="Times New Roman" w:hAnsi="Times New Roman" w:cs="Times New Roman"/>
          <w:sz w:val="26"/>
          <w:szCs w:val="26"/>
          <w:lang w:eastAsia="en-US"/>
        </w:rPr>
      </w:pPr>
    </w:p>
    <w:p w:rsidR="008F6CA3" w:rsidRDefault="008F6CA3" w:rsidP="00696F57">
      <w:pPr>
        <w:spacing w:line="240" w:lineRule="auto"/>
        <w:ind w:firstLine="1701"/>
        <w:jc w:val="both"/>
        <w:rPr>
          <w:rFonts w:ascii="Times New Roman" w:hAnsi="Times New Roman" w:cs="Times New Roman"/>
          <w:bCs/>
          <w:sz w:val="26"/>
          <w:szCs w:val="26"/>
          <w:lang w:eastAsia="en-US"/>
        </w:rPr>
      </w:pPr>
      <w:r>
        <w:rPr>
          <w:rFonts w:ascii="Times New Roman" w:hAnsi="Times New Roman" w:cs="Times New Roman"/>
          <w:sz w:val="26"/>
          <w:szCs w:val="26"/>
          <w:lang w:eastAsia="en-US"/>
        </w:rPr>
        <w:t>Conforme vê, o entendimento é de que as</w:t>
      </w:r>
      <w:r>
        <w:rPr>
          <w:rFonts w:ascii="Times New Roman" w:hAnsi="Times New Roman" w:cs="Times New Roman"/>
          <w:b/>
          <w:bCs/>
          <w:sz w:val="26"/>
          <w:szCs w:val="26"/>
          <w:lang w:eastAsia="en-US"/>
        </w:rPr>
        <w:t xml:space="preserve"> </w:t>
      </w:r>
      <w:r>
        <w:rPr>
          <w:rFonts w:ascii="Times New Roman" w:hAnsi="Times New Roman" w:cs="Times New Roman"/>
          <w:sz w:val="26"/>
          <w:szCs w:val="26"/>
          <w:lang w:eastAsia="en-US"/>
        </w:rPr>
        <w:t>decisões judiciais transitadas em julgado antes da publicação do acórdão do RE 638.115 devem manter-se incólumes.</w:t>
      </w:r>
      <w:r>
        <w:rPr>
          <w:rFonts w:ascii="Times New Roman" w:hAnsi="Times New Roman" w:cs="Times New Roman"/>
          <w:b/>
          <w:bCs/>
          <w:sz w:val="26"/>
          <w:szCs w:val="26"/>
          <w:lang w:eastAsia="en-US"/>
        </w:rPr>
        <w:t xml:space="preserve"> </w:t>
      </w:r>
      <w:r>
        <w:rPr>
          <w:rFonts w:ascii="Times New Roman" w:hAnsi="Times New Roman" w:cs="Times New Roman"/>
          <w:sz w:val="26"/>
          <w:szCs w:val="26"/>
          <w:lang w:eastAsia="en-US"/>
        </w:rPr>
        <w:t xml:space="preserve">O acórdão, inclusive, </w:t>
      </w:r>
      <w:r>
        <w:rPr>
          <w:rFonts w:ascii="Times New Roman" w:hAnsi="Times New Roman" w:cs="Times New Roman"/>
          <w:bCs/>
          <w:sz w:val="26"/>
          <w:szCs w:val="26"/>
          <w:lang w:eastAsia="en-US"/>
        </w:rPr>
        <w:t>admitiu a modulação dos efeitos da decisão para aqueles que continuam recebendo os quintos em razão de decisão administrativa, a fim de que tenham o pagamento mantido</w:t>
      </w:r>
      <w:r>
        <w:rPr>
          <w:rFonts w:ascii="Times New Roman" w:hAnsi="Times New Roman" w:cs="Times New Roman"/>
          <w:b/>
          <w:bCs/>
          <w:sz w:val="26"/>
          <w:szCs w:val="26"/>
          <w:lang w:eastAsia="en-US"/>
        </w:rPr>
        <w:t xml:space="preserve"> até a sua absorção integral por quaisquer reajustes futuros concedidos.</w:t>
      </w:r>
    </w:p>
    <w:p w:rsidR="008F6CA3" w:rsidRDefault="008F6CA3" w:rsidP="00696F57">
      <w:pPr>
        <w:spacing w:line="240" w:lineRule="auto"/>
        <w:ind w:firstLine="1701"/>
        <w:jc w:val="both"/>
        <w:rPr>
          <w:rFonts w:ascii="Times New Roman" w:hAnsi="Times New Roman" w:cs="Calibri"/>
          <w:sz w:val="26"/>
          <w:szCs w:val="26"/>
          <w:lang w:eastAsia="ar-SA"/>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Neste ponto, importante abrir um parêntese para destacar que, no que se refere especificamente aos quintos incorporados após 1998, os servidores do Poder Judiciário Federal do Estado de Minas Gerais possuem coisa julgada que garante a continuidade do pagamento destas parcelas sem qualquer incorporação, nos termos do que foi decido no RE 638.115.</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Trata-se do processo nº 0051848-05.2003.4.01.3800, ajuizado pelo Sindicato dos Trabalhadores do Poder Judiciário Federal no Estado de Minas Gerais (principais peças e certidão do transito em julgado anexo),</w:t>
      </w:r>
      <w:r>
        <w:t xml:space="preserve"> </w:t>
      </w:r>
      <w:r>
        <w:rPr>
          <w:rFonts w:ascii="Times New Roman" w:hAnsi="Times New Roman"/>
          <w:sz w:val="26"/>
          <w:szCs w:val="26"/>
        </w:rPr>
        <w:t>em que se reconhece o direito à incorporação dos quintos posteriores a 1998. Assim, é fato que, para os quintos de 1998 a 2001, há coisa julgada que não admite sequer a compensação futura.</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 xml:space="preserve">Além disso, o Tribunal Regional do Trabalho da 24ª Região, em recentíssima decisão, em que pese o equívoco por não ter entendido pela legalidade da cumulação das parcelas, determinou </w:t>
      </w:r>
      <w:r>
        <w:rPr>
          <w:rFonts w:ascii="Times New Roman" w:hAnsi="Times New Roman"/>
          <w:b/>
          <w:bCs/>
          <w:sz w:val="26"/>
          <w:szCs w:val="26"/>
        </w:rPr>
        <w:t>a manutenção do pagamento destas até a absorção futura pelos reajustes, inadmitindo a “absorção retroativa”</w:t>
      </w:r>
      <w:r>
        <w:rPr>
          <w:rFonts w:ascii="Times New Roman" w:hAnsi="Times New Roman"/>
          <w:sz w:val="26"/>
          <w:szCs w:val="26"/>
        </w:rPr>
        <w:t xml:space="preserve"> (anexo 10):</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b/>
          <w:bCs/>
        </w:rPr>
      </w:pPr>
      <w:r>
        <w:rPr>
          <w:rFonts w:ascii="Times New Roman" w:hAnsi="Times New Roman"/>
        </w:rPr>
        <w:t xml:space="preserve">Por tais motivos, considero, até mesmo com motivação isonômica, considero aplicável ao caso a modulação de efeitos concretizada pelo Supremo Tribunal Federal na decisão proferida no RE 638.115-ED-ED, no sentido de que </w:t>
      </w:r>
      <w:r>
        <w:rPr>
          <w:rFonts w:ascii="Times New Roman" w:hAnsi="Times New Roman"/>
          <w:b/>
          <w:bCs/>
        </w:rPr>
        <w:t>"aqueles que continuam recebendo até a presente data em razão de decisão administrativa tenham o pagamento mantido até sua absorção integral por quaisquer reajustes futuros concedidos aos servidores".</w:t>
      </w:r>
    </w:p>
    <w:p w:rsidR="008F6CA3" w:rsidRDefault="008F6CA3" w:rsidP="00696F57">
      <w:pPr>
        <w:spacing w:line="240" w:lineRule="auto"/>
        <w:ind w:left="1701"/>
        <w:jc w:val="both"/>
        <w:rPr>
          <w:rFonts w:ascii="Times New Roman" w:hAnsi="Times New Roman"/>
        </w:rPr>
      </w:pPr>
      <w:r>
        <w:rPr>
          <w:rFonts w:ascii="Times New Roman" w:hAnsi="Times New Roman"/>
        </w:rPr>
        <w:t xml:space="preserve">Destarte, por considerar aplicável ao caso a modulação de efeitos realizada pelo Excelso Supremo Tribunal Federal </w:t>
      </w:r>
      <w:r>
        <w:rPr>
          <w:rFonts w:ascii="Times New Roman" w:hAnsi="Times New Roman"/>
          <w:b/>
          <w:bCs/>
        </w:rPr>
        <w:t>CONCEDO</w:t>
      </w:r>
      <w:r>
        <w:rPr>
          <w:rFonts w:ascii="Times New Roman" w:hAnsi="Times New Roman"/>
        </w:rPr>
        <w:t xml:space="preserve"> a segurança para, ao revés da abrupta interrupção do pagamento da parcela incorporada, seja ela absorvida pelos futuros reajustes salariais concedidos aos servidores do Poder Judiciário em geral.</w:t>
      </w:r>
    </w:p>
    <w:p w:rsidR="008F6CA3" w:rsidRDefault="008F6CA3" w:rsidP="00696F57">
      <w:pPr>
        <w:spacing w:line="240" w:lineRule="auto"/>
        <w:ind w:left="1701"/>
        <w:jc w:val="both"/>
        <w:rPr>
          <w:rFonts w:ascii="Times New Roman" w:hAnsi="Times New Roman"/>
        </w:rPr>
      </w:pPr>
      <w:r>
        <w:rPr>
          <w:rFonts w:ascii="Times New Roman" w:hAnsi="Times New Roman"/>
        </w:rPr>
        <w:t>Processo nº 0024015-44.2020.5.24.0000 - MSCol. 09/07/2020.</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sz w:val="26"/>
          <w:szCs w:val="26"/>
        </w:rPr>
      </w:pPr>
      <w:r>
        <w:rPr>
          <w:rFonts w:ascii="Times New Roman" w:hAnsi="Times New Roman"/>
          <w:sz w:val="26"/>
          <w:szCs w:val="26"/>
        </w:rPr>
        <w:t xml:space="preserve">Se não fosse suficiente, várias foram as decisões recentes do STF que evoluíram na interpretação de situações análogas, determinando a manutenção da VPNI na folha de pagamento, como </w:t>
      </w:r>
      <w:r>
        <w:rPr>
          <w:rFonts w:ascii="Times New Roman" w:hAnsi="Times New Roman"/>
          <w:b/>
          <w:bCs/>
          <w:sz w:val="26"/>
          <w:szCs w:val="26"/>
        </w:rPr>
        <w:t>parcela compensatória, a ser absorvida por reajustes futuros</w:t>
      </w:r>
      <w:r>
        <w:rPr>
          <w:rFonts w:ascii="Times New Roman" w:hAnsi="Times New Roman"/>
          <w:sz w:val="26"/>
          <w:szCs w:val="26"/>
        </w:rPr>
        <w:t>. Nesse sentido:</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sz w:val="20"/>
          <w:szCs w:val="20"/>
        </w:rPr>
        <w:t>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PLENÁRIO DO SUPREMO TRIBUNAL FEDERAL EM REPERCUSSÃO GERAL, INDEPENDENTEMENTE DO TRÂNSITO EM JULGADO DO PARADIGMA.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REPÚBLICA.AGRAVO REGIMENTAL A QUE SE DÁ PARCIAL PROVIMENTO</w:t>
      </w:r>
      <w:r>
        <w:rPr>
          <w:rFonts w:ascii="Times New Roman" w:hAnsi="Times New Roman"/>
        </w:rPr>
        <w:t>. [...] 4. Ocorre que, supervenientemente, houve a modulação dos efeitos da decisão anteriormente proferida no Recurso Extraordinário n. 638.115, em sede de repercussão geral (RE 638.115-ED-ED, Min. Rel. Gilmar Mendes, Tribunal Pleno, DJe em 31/1/2020). 5.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DJe em 31/1/2020).</w:t>
      </w:r>
    </w:p>
    <w:p w:rsidR="008F6CA3" w:rsidRDefault="008F6CA3" w:rsidP="00696F57">
      <w:pPr>
        <w:spacing w:line="240" w:lineRule="auto"/>
        <w:ind w:left="1701"/>
        <w:jc w:val="both"/>
        <w:rPr>
          <w:rFonts w:ascii="Times New Roman" w:hAnsi="Times New Roman"/>
          <w:b/>
          <w:bCs/>
          <w:vertAlign w:val="superscript"/>
        </w:rPr>
      </w:pPr>
      <w:r>
        <w:rPr>
          <w:rFonts w:ascii="Times New Roman" w:hAnsi="Times New Roman"/>
          <w:b/>
          <w:bCs/>
        </w:rPr>
        <w:t>(MS 36744 AgR, Relator(a): LUIZ FUX, Primeira Turma, julgado em 22/05/2020, PROCESSO ELETRÔNICO DJe-151 DIVULG 17-06-2020 PUBLIC 18-06-2020)</w:t>
      </w:r>
      <w:r>
        <w:rPr>
          <w:rStyle w:val="FootnoteReference"/>
          <w:rFonts w:ascii="Times New Roman" w:hAnsi="Times New Roman" w:cs="Arial"/>
          <w:b/>
          <w:bCs/>
        </w:rPr>
        <w:footnoteReference w:id="15"/>
      </w:r>
    </w:p>
    <w:p w:rsidR="008F6CA3" w:rsidRDefault="008F6CA3" w:rsidP="00696F57">
      <w:pPr>
        <w:spacing w:line="240" w:lineRule="auto"/>
        <w:ind w:left="1701"/>
        <w:jc w:val="both"/>
        <w:rPr>
          <w:rFonts w:ascii="Times New Roman" w:hAnsi="Times New Roman"/>
          <w:sz w:val="26"/>
          <w:szCs w:val="26"/>
        </w:rPr>
      </w:pPr>
    </w:p>
    <w:p w:rsidR="008F6CA3" w:rsidRDefault="008F6CA3" w:rsidP="00696F57">
      <w:pPr>
        <w:spacing w:line="240" w:lineRule="auto"/>
        <w:ind w:left="1701"/>
        <w:jc w:val="both"/>
        <w:rPr>
          <w:rFonts w:ascii="Times New Roman" w:hAnsi="Times New Roman"/>
        </w:rPr>
      </w:pPr>
      <w:r>
        <w:rPr>
          <w:rFonts w:ascii="Times New Roman" w:hAnsi="Times New Roman"/>
          <w:sz w:val="20"/>
          <w:szCs w:val="20"/>
        </w:rPr>
        <w:t>AGRAVO REGIMENTAL EM MANDADO DE SEGURANÇA. TRIBUNAL DE CONTAS DA UNIÃO. NEGATIVA DE REGISTRO A ATO DE CONCESSÃO INICIAL DE APOSENTADORIA. [...]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A QUE SE DÁ PARCIAL PROVIMENTO</w:t>
      </w:r>
      <w:r>
        <w:rPr>
          <w:rFonts w:ascii="Times New Roman" w:hAnsi="Times New Roman"/>
        </w:rPr>
        <w:t>. [...] 7. Em verdade, in casu, há somente UM ponto na argumentação do agravante, trazida supervenientemente já em sede memorial, que demanda o reparo de minha decisão monocrática anterior. 8. O Plenário deste Supremo Tribunal Federal, no julgamento do Recurso Extraordinário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9. Ocorre que, supervenientemente, houve a modulação dos efeitos da decisão anteriormente proferida no Recurso Extraordinário n. 638.115, em sede de repercussão geral (RE 638.115-ED-ED, Min. Rel. Gilmar Mendes, Tribunal Pleno, DJe em 31/1/2020). 10.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11.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12.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13. Nesse sentido, há maior razoabilidade em delegar ao próprio órgão que reavalie a decisão, porém em estrita observância às novas balizas desta Suprema Corte. 14. Agravo regimental a que se dá PARCIAL PROVIMENTO, apenas para que o Tribunal de Contas da União, nos autos do processo de Tomada de Contas (TC) nº 026.294/2016-8, analise novamente o pleito da agravante observando a nova orientação proferida pelo Plenário deste Supremo Tribunal Federal (RE 638.115-ED-ED, Min. Rel. Gilmar Mendes, Tribunal Pleno, DJe em 31/1/2020).</w:t>
      </w:r>
    </w:p>
    <w:p w:rsidR="008F6CA3" w:rsidRDefault="008F6CA3" w:rsidP="00696F57">
      <w:pPr>
        <w:spacing w:line="240" w:lineRule="auto"/>
        <w:ind w:left="1701"/>
        <w:jc w:val="both"/>
        <w:rPr>
          <w:rFonts w:ascii="Times New Roman" w:hAnsi="Times New Roman"/>
        </w:rPr>
      </w:pPr>
      <w:r>
        <w:rPr>
          <w:rFonts w:ascii="Times New Roman" w:hAnsi="Times New Roman"/>
        </w:rPr>
        <w:t>(</w:t>
      </w:r>
      <w:r>
        <w:rPr>
          <w:rFonts w:ascii="Times New Roman" w:hAnsi="Times New Roman"/>
          <w:b/>
          <w:bCs/>
        </w:rPr>
        <w:t>MS 36869 AgR, Relator(a): Min. LUIZ FUX, Julgamento: 22/05/2020, Publicação: 18/06/2020, Órgão julgador: Primeira PROCESSO ELETRÔNICO DJe-151 DIVULG 17-06-2020 PUBLIC 18-06-2020</w:t>
      </w:r>
      <w:r>
        <w:rPr>
          <w:rFonts w:ascii="Times New Roman" w:hAnsi="Times New Roman"/>
        </w:rPr>
        <w:t>) (anexo)</w:t>
      </w:r>
    </w:p>
    <w:p w:rsidR="008F6CA3" w:rsidRDefault="008F6CA3" w:rsidP="00696F57">
      <w:pPr>
        <w:spacing w:line="240" w:lineRule="auto"/>
        <w:ind w:firstLine="1701"/>
        <w:jc w:val="both"/>
        <w:rPr>
          <w:rFonts w:ascii="Times New Roman" w:hAnsi="Times New Roman"/>
          <w:sz w:val="26"/>
          <w:szCs w:val="26"/>
        </w:rPr>
      </w:pPr>
    </w:p>
    <w:p w:rsidR="008F6CA3" w:rsidRDefault="008F6CA3" w:rsidP="00696F57">
      <w:pPr>
        <w:spacing w:line="240" w:lineRule="auto"/>
        <w:ind w:firstLine="1701"/>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Nesse cenário, tem-se que a pretensão de fazer retroagir a absorção com reajustes pretéritos, além de estar em completo desacordo com a Lei de Introdução às Normas do Direito Brasileiro e com o entendimento do STF e do próprio TCU em caso semelhante, viola a segurança jurídica e as disposições da Lei nº 9.784, de 1999.</w:t>
      </w:r>
    </w:p>
    <w:p w:rsidR="008F6CA3" w:rsidRDefault="008F6CA3" w:rsidP="00696F57">
      <w:pPr>
        <w:spacing w:line="240" w:lineRule="auto"/>
        <w:ind w:firstLine="1701"/>
        <w:jc w:val="both"/>
        <w:rPr>
          <w:rFonts w:ascii="Times New Roman" w:hAnsi="Times New Roman" w:cs="Times New Roman"/>
          <w:bCs/>
          <w:sz w:val="26"/>
          <w:szCs w:val="26"/>
          <w:lang w:eastAsia="en-US"/>
        </w:rPr>
      </w:pP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futuros, e não pretéritos.</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Além de princípio constitucional, a segurança jurídica constou do artigo 2º da Lei 9.784/99:</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left="1695"/>
        <w:jc w:val="both"/>
        <w:textAlignment w:val="baseline"/>
        <w:rPr>
          <w:rFonts w:ascii="Segoe UI" w:hAnsi="Segoe UI" w:cs="Segoe UI"/>
          <w:sz w:val="18"/>
          <w:szCs w:val="18"/>
        </w:rPr>
      </w:pPr>
      <w:r>
        <w:rPr>
          <w:rStyle w:val="normaltextrun"/>
          <w:sz w:val="22"/>
          <w:szCs w:val="22"/>
        </w:rPr>
        <w:t xml:space="preserve">Art. 2º. A Administração Pública obedecerá, dentre outros, aos princípios da legalidade, finalidade, motivação, razoabilidade, proporcionalidade, moralidade, ampla defesa, contraditório, </w:t>
      </w:r>
      <w:r>
        <w:rPr>
          <w:rStyle w:val="normaltextrun"/>
          <w:b/>
          <w:sz w:val="22"/>
          <w:szCs w:val="22"/>
        </w:rPr>
        <w:t>segurança jurídica</w:t>
      </w:r>
      <w:r>
        <w:rPr>
          <w:rStyle w:val="normaltextrun"/>
          <w:sz w:val="22"/>
          <w:szCs w:val="22"/>
        </w:rPr>
        <w:t>, interesse público e eficiência.</w:t>
      </w: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Conforme Canotilho</w:t>
      </w:r>
      <w:r>
        <w:rPr>
          <w:rStyle w:val="FootnoteReference"/>
          <w:sz w:val="26"/>
          <w:szCs w:val="26"/>
        </w:rPr>
        <w:footnoteReference w:id="16"/>
      </w:r>
      <w:r>
        <w:rPr>
          <w:rStyle w:val="normaltextrun"/>
          <w:sz w:val="26"/>
          <w:szCs w:val="26"/>
        </w:rPr>
        <w:t>,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w:t>
      </w: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Isso porque tais atos devem conter “fiabilidade, racionalidade e transparência”, de forma que em relação a eles “o cidadão veja garantida a segurança nas suas disposições pessoais e nos efeitos jurídicos de seus próprios atos”</w:t>
      </w:r>
      <w:r>
        <w:rPr>
          <w:rStyle w:val="FootnoteReference"/>
          <w:sz w:val="26"/>
          <w:szCs w:val="26"/>
        </w:rPr>
        <w:footnoteReference w:id="17"/>
      </w:r>
      <w:r>
        <w:rPr>
          <w:rStyle w:val="normaltextrun"/>
          <w:sz w:val="26"/>
          <w:szCs w:val="26"/>
        </w:rPr>
        <w:t>.</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Reitera-se que a incorporação de quintos e a implementação da GAE ocorreram há mais de 5 anos e que, desde então, as parcelas são recebidas de forma cumulativa. Ou seja, há mais de cinco anos os servidores recebem a GAE cumulada com a VPNI oriunda dos quintos incorporados.</w:t>
      </w: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Entretanto, a Administração viola o princípio da segurança jurídica das relações ao pretender desconstituir situação que perdura há mais de cinco anos, suprimindo parcelas incorporadas à remuneração do servidor. Também macula o mencionado princípio caso se aplique a compensação utilizando-se de reajustes pretéritos, o que é vedado pela legislação.</w:t>
      </w:r>
    </w:p>
    <w:p w:rsidR="008F6CA3" w:rsidRDefault="008F6CA3" w:rsidP="00696F57">
      <w:pPr>
        <w:pStyle w:val="paragraph"/>
        <w:spacing w:before="0" w:beforeAutospacing="0" w:after="0" w:afterAutospacing="0"/>
        <w:ind w:firstLine="1701"/>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 xml:space="preserve">Também, 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do direito, </w:t>
      </w:r>
      <w:r>
        <w:rPr>
          <w:rStyle w:val="normaltextrun"/>
          <w:b/>
          <w:sz w:val="26"/>
          <w:szCs w:val="26"/>
        </w:rPr>
        <w:t>a Administração pretende aplicar seu novo posicionamento para modificar situação consolidada</w:t>
      </w:r>
      <w:r>
        <w:rPr>
          <w:rStyle w:val="normaltextrun"/>
          <w:sz w:val="26"/>
          <w:szCs w:val="26"/>
        </w:rPr>
        <w:t>, consoante o comando do inciso XIII do parágrafo único do artigo 2º da Lei nº 9.784, de 1999</w:t>
      </w:r>
      <w:r>
        <w:rPr>
          <w:rStyle w:val="FootnoteReference"/>
          <w:szCs w:val="26"/>
        </w:rPr>
        <w:footnoteReference w:id="18"/>
      </w:r>
      <w:r>
        <w:rPr>
          <w:rStyle w:val="normaltextrun"/>
          <w:sz w:val="26"/>
          <w:szCs w:val="26"/>
        </w:rPr>
        <w:t>, que reza:</w:t>
      </w: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left="1695"/>
        <w:jc w:val="both"/>
        <w:textAlignment w:val="baseline"/>
        <w:rPr>
          <w:rFonts w:ascii="Segoe UI" w:hAnsi="Segoe UI" w:cs="Segoe UI"/>
          <w:sz w:val="18"/>
          <w:szCs w:val="18"/>
        </w:rPr>
      </w:pPr>
      <w:r>
        <w:rPr>
          <w:rStyle w:val="normaltextrun"/>
          <w:sz w:val="22"/>
          <w:szCs w:val="22"/>
        </w:rPr>
        <w:t>Art. 2º. (...) Parágrafo único. Nos processos administrativos serão observados, entre outros, os critérios de: (...)</w:t>
      </w:r>
      <w:r>
        <w:rPr>
          <w:rStyle w:val="eop"/>
          <w:sz w:val="22"/>
          <w:szCs w:val="22"/>
        </w:rPr>
        <w:t xml:space="preserve"> </w:t>
      </w:r>
      <w:r>
        <w:rPr>
          <w:rStyle w:val="normaltextrun"/>
          <w:sz w:val="22"/>
          <w:szCs w:val="22"/>
        </w:rPr>
        <w:t xml:space="preserve">XIII- interpretação da norma administrativa da forma que melhor garanta o atendimento do fim público a que se dirige, </w:t>
      </w:r>
      <w:r>
        <w:rPr>
          <w:rStyle w:val="normaltextrun"/>
          <w:b/>
          <w:bCs/>
          <w:sz w:val="22"/>
          <w:szCs w:val="22"/>
        </w:rPr>
        <w:t>vedada a aplicação retroativa de nova interpretação</w:t>
      </w:r>
      <w:r>
        <w:rPr>
          <w:rStyle w:val="normaltextrun"/>
          <w:sz w:val="22"/>
          <w:szCs w:val="22"/>
        </w:rPr>
        <w:t>. (grifou-se)</w:t>
      </w:r>
      <w:r>
        <w:rPr>
          <w:rStyle w:val="eop"/>
          <w:sz w:val="22"/>
          <w:szCs w:val="22"/>
        </w:rPr>
        <w:t xml:space="preserve"> </w:t>
      </w:r>
    </w:p>
    <w:p w:rsidR="008F6CA3" w:rsidRDefault="008F6CA3" w:rsidP="00696F57">
      <w:pPr>
        <w:pStyle w:val="paragraph"/>
        <w:spacing w:before="0" w:beforeAutospacing="0" w:after="0" w:afterAutospacing="0"/>
        <w:ind w:firstLine="1695"/>
        <w:jc w:val="both"/>
        <w:textAlignment w:val="baseline"/>
        <w:rPr>
          <w:rFonts w:ascii="Segoe UI" w:hAnsi="Segoe UI" w:cs="Segoe UI"/>
          <w:sz w:val="18"/>
          <w:szCs w:val="18"/>
        </w:rPr>
      </w:pPr>
      <w:r>
        <w:rPr>
          <w:rStyle w:val="eop"/>
          <w:sz w:val="26"/>
          <w:szCs w:val="26"/>
        </w:rPr>
        <w:t xml:space="preserve"> </w:t>
      </w:r>
    </w:p>
    <w:p w:rsidR="008F6CA3" w:rsidRDefault="008F6CA3" w:rsidP="00696F57">
      <w:pPr>
        <w:pStyle w:val="paragraph"/>
        <w:spacing w:before="0" w:beforeAutospacing="0" w:after="0" w:afterAutospacing="0"/>
        <w:ind w:firstLine="1695"/>
        <w:jc w:val="both"/>
        <w:textAlignment w:val="baseline"/>
        <w:rPr>
          <w:rStyle w:val="normaltextrun"/>
          <w:sz w:val="26"/>
          <w:szCs w:val="26"/>
        </w:rPr>
      </w:pPr>
      <w:r>
        <w:rPr>
          <w:rStyle w:val="normaltextrun"/>
          <w:sz w:val="26"/>
          <w:szCs w:val="26"/>
        </w:rPr>
        <w:t>Logo, a possibilidade de supressão de GAE ou da VPNI, concedidas com base na legislação regente e há mais de cinco anos, não se coaduna com a garantia da segurança jurídica, extraída do inciso XXXVI artigo 5º da Constituição e expressa no artigo 2º da Lei nº 9.784</w:t>
      </w:r>
      <w:r>
        <w:rPr>
          <w:rStyle w:val="FootnoteReference"/>
          <w:szCs w:val="26"/>
        </w:rPr>
        <w:footnoteReference w:id="19"/>
      </w:r>
      <w:r>
        <w:rPr>
          <w:rStyle w:val="normaltextrun"/>
          <w:sz w:val="26"/>
          <w:szCs w:val="26"/>
        </w:rPr>
        <w:t>.</w:t>
      </w:r>
    </w:p>
    <w:p w:rsidR="008F6CA3" w:rsidRDefault="008F6CA3" w:rsidP="00696F57">
      <w:pPr>
        <w:widowControl w:val="0"/>
        <w:tabs>
          <w:tab w:val="left" w:pos="284"/>
        </w:tabs>
        <w:spacing w:line="240" w:lineRule="auto"/>
        <w:ind w:firstLine="1701"/>
        <w:jc w:val="both"/>
        <w:rPr>
          <w:rFonts w:ascii="Times New Roman" w:hAnsi="Times New Roman" w:cs="Times New Roman"/>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Ademais, apesar de se defender a legalidade da cumulação da GAE com a VPNI, mesmo se esse não for o entendimento, à Administração não cabe suprimir nenhuma das parcelas mediante a absorção considerando reajustes pretéritos.</w:t>
      </w:r>
    </w:p>
    <w:p w:rsidR="008F6CA3" w:rsidRDefault="008F6CA3" w:rsidP="00696F57">
      <w:pPr>
        <w:spacing w:line="240" w:lineRule="auto"/>
        <w:jc w:val="both"/>
        <w:rPr>
          <w:rFonts w:ascii="Times New Roman" w:hAnsi="Times New Roman" w:cs="Times New Roman"/>
          <w:sz w:val="26"/>
          <w:szCs w:val="26"/>
        </w:rPr>
      </w:pPr>
    </w:p>
    <w:p w:rsidR="008F6CA3" w:rsidRDefault="008F6CA3" w:rsidP="00696F57">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3. </w:t>
      </w:r>
      <w:r>
        <w:rPr>
          <w:rFonts w:ascii="Times New Roman" w:hAnsi="Times New Roman" w:cs="Times New Roman"/>
          <w:b/>
          <w:sz w:val="26"/>
          <w:szCs w:val="26"/>
          <w:u w:val="single"/>
        </w:rPr>
        <w:t>DO EFEITO SUSPENSIVO</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 efeito suspensivo deve ser atribuído sempre que houver a possibilidade de dano irreparável ao recorrente e seu cabimento está prevista no artigo 109 da Lei 8.112, de 1990 e no artigo 61, parágrafo único, da Lei nº 9.487, de 1999:</w:t>
      </w:r>
    </w:p>
    <w:p w:rsidR="008F6CA3" w:rsidRDefault="008F6CA3" w:rsidP="00696F57">
      <w:pPr>
        <w:spacing w:line="240" w:lineRule="auto"/>
        <w:ind w:left="1701"/>
        <w:jc w:val="both"/>
        <w:rPr>
          <w:rFonts w:ascii="Times New Roman" w:hAnsi="Times New Roman" w:cs="Times New Roman"/>
          <w:szCs w:val="26"/>
        </w:rPr>
      </w:pPr>
    </w:p>
    <w:p w:rsidR="008F6CA3" w:rsidRDefault="008F6CA3" w:rsidP="00696F57">
      <w:pPr>
        <w:spacing w:line="240" w:lineRule="auto"/>
        <w:ind w:left="1701"/>
        <w:jc w:val="both"/>
        <w:rPr>
          <w:rFonts w:ascii="Times New Roman" w:hAnsi="Times New Roman" w:cs="Times New Roman"/>
          <w:b/>
          <w:szCs w:val="26"/>
          <w:u w:val="single"/>
        </w:rPr>
      </w:pPr>
      <w:r>
        <w:rPr>
          <w:rFonts w:ascii="Times New Roman" w:hAnsi="Times New Roman" w:cs="Times New Roman"/>
          <w:b/>
          <w:szCs w:val="26"/>
          <w:u w:val="single"/>
        </w:rPr>
        <w:t>Lei nº 8.112, de 1990:</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Art. 109. O recurso poderá ser recebido com efeito suspensivo, a juízo da autoridade competente.</w:t>
      </w:r>
    </w:p>
    <w:p w:rsidR="008F6CA3" w:rsidRDefault="008F6CA3" w:rsidP="00696F57">
      <w:pPr>
        <w:spacing w:line="240" w:lineRule="auto"/>
        <w:ind w:left="1701"/>
        <w:jc w:val="both"/>
        <w:rPr>
          <w:rFonts w:ascii="Times New Roman" w:hAnsi="Times New Roman" w:cs="Times New Roman"/>
          <w:szCs w:val="26"/>
        </w:rPr>
      </w:pPr>
    </w:p>
    <w:p w:rsidR="008F6CA3" w:rsidRDefault="008F6CA3" w:rsidP="00696F57">
      <w:pPr>
        <w:spacing w:line="240" w:lineRule="auto"/>
        <w:ind w:left="1701"/>
        <w:jc w:val="both"/>
        <w:rPr>
          <w:rFonts w:ascii="Times New Roman" w:hAnsi="Times New Roman" w:cs="Times New Roman"/>
          <w:b/>
          <w:szCs w:val="26"/>
          <w:u w:val="single"/>
        </w:rPr>
      </w:pPr>
      <w:r>
        <w:rPr>
          <w:rFonts w:ascii="Times New Roman" w:hAnsi="Times New Roman" w:cs="Times New Roman"/>
          <w:b/>
          <w:szCs w:val="26"/>
          <w:u w:val="single"/>
        </w:rPr>
        <w:t>Lei nº 9.487, de 1999:</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Art. 61. Salvo disposição legal em contrário, o recurso não tem efeito suspensivo.</w:t>
      </w:r>
    </w:p>
    <w:p w:rsidR="008F6CA3" w:rsidRDefault="008F6CA3" w:rsidP="00696F57">
      <w:pPr>
        <w:spacing w:line="240" w:lineRule="auto"/>
        <w:ind w:left="1701"/>
        <w:jc w:val="both"/>
        <w:rPr>
          <w:rFonts w:ascii="Times New Roman" w:hAnsi="Times New Roman" w:cs="Times New Roman"/>
          <w:szCs w:val="26"/>
        </w:rPr>
      </w:pPr>
      <w:r>
        <w:rPr>
          <w:rFonts w:ascii="Times New Roman" w:hAnsi="Times New Roman" w:cs="Times New Roman"/>
          <w:szCs w:val="26"/>
        </w:rPr>
        <w:t>Parágrafo único. Havendo justo receio de prejuízo de difícil ou incerta reparação decorrente da execução, a autoridade recorrida ou a imediatamente superior poderá, de ofício ou a pedido, dar efeito suspensivo ao recurso.</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Sendo assim, se mostra primordial suspender os efeitos da decisão recorrida, a fim de evitar danos concretos e irreparáveis, pois, trata-se do corte de parcelas alimentares, cuja ausência pode comprometer o sustento da unidade familiar.</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Portanto, é cabível o efeito suspensivo, assim como prudente, pois se afastaria a causalidade de ocorrência de dano de difícil reparação no futuro, mas evitável com a concessão de suspensão dos efeitos da decisão.</w:t>
      </w:r>
    </w:p>
    <w:p w:rsidR="008F6CA3" w:rsidRDefault="008F6CA3" w:rsidP="00696F57">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p w:rsidR="008F6CA3" w:rsidRDefault="008F6CA3" w:rsidP="00696F57">
      <w:pPr>
        <w:spacing w:line="240" w:lineRule="auto"/>
        <w:jc w:val="both"/>
        <w:rPr>
          <w:rFonts w:ascii="Times New Roman" w:hAnsi="Times New Roman" w:cs="Times New Roman"/>
          <w:b/>
          <w:sz w:val="26"/>
          <w:szCs w:val="26"/>
        </w:rPr>
      </w:pPr>
      <w:r w:rsidRPr="001E7C99">
        <w:rPr>
          <w:rFonts w:ascii="Times New Roman" w:hAnsi="Times New Roman" w:cs="Times New Roman"/>
          <w:b/>
          <w:sz w:val="26"/>
          <w:szCs w:val="26"/>
        </w:rPr>
        <w:t>4.</w:t>
      </w:r>
      <w:r>
        <w:rPr>
          <w:rFonts w:ascii="Times New Roman" w:hAnsi="Times New Roman" w:cs="Times New Roman"/>
          <w:b/>
          <w:sz w:val="26"/>
          <w:szCs w:val="26"/>
          <w:u w:val="single"/>
        </w:rPr>
        <w:t xml:space="preserve"> PEDIDOS RECURSAIS</w:t>
      </w:r>
    </w:p>
    <w:p w:rsidR="008F6CA3" w:rsidRDefault="008F6CA3" w:rsidP="00696F57">
      <w:pPr>
        <w:spacing w:line="240" w:lineRule="auto"/>
        <w:ind w:firstLine="1695"/>
        <w:jc w:val="both"/>
        <w:rPr>
          <w:rFonts w:ascii="Times New Roman" w:hAnsi="Times New Roman" w:cs="Times New Roman"/>
          <w:sz w:val="24"/>
          <w:szCs w:val="24"/>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b/>
          <w:bCs/>
          <w:sz w:val="26"/>
          <w:szCs w:val="26"/>
        </w:rPr>
        <w:t>Ante o exposto</w:t>
      </w:r>
      <w:r>
        <w:rPr>
          <w:rFonts w:ascii="Times New Roman" w:hAnsi="Times New Roman" w:cs="Times New Roman"/>
          <w:sz w:val="26"/>
          <w:szCs w:val="26"/>
        </w:rPr>
        <w:t>, requer o conhecimento e provimento do recurso interposto para:</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b/>
          <w:sz w:val="26"/>
          <w:szCs w:val="26"/>
        </w:rPr>
      </w:pPr>
      <w:r>
        <w:rPr>
          <w:rFonts w:ascii="Times New Roman" w:hAnsi="Times New Roman" w:cs="Times New Roman"/>
          <w:b/>
          <w:sz w:val="26"/>
          <w:szCs w:val="26"/>
        </w:rPr>
        <w:t xml:space="preserve">(a) </w:t>
      </w:r>
      <w:r>
        <w:rPr>
          <w:rFonts w:ascii="Times New Roman" w:hAnsi="Times New Roman" w:cs="Times New Roman"/>
          <w:sz w:val="26"/>
          <w:szCs w:val="26"/>
        </w:rPr>
        <w:t>atribuir, desde logo, o efeito suspensivo ao despacho da Presidência, para suspender a aplicação do entendimento firmado pelo Tribunal de contas da União no sentido de suprimir as parcelas de quintos/décimos adquiridas em razão do exercício de funções típicas de oficial de justiça, ou sua transformação em parcelas compensatórias, caso não tenham sido absorvidas pelos aumentos ocorridos nos últimos 5 anos;</w:t>
      </w:r>
    </w:p>
    <w:p w:rsidR="008F6CA3" w:rsidRDefault="008F6CA3" w:rsidP="00696F57">
      <w:pPr>
        <w:spacing w:line="240" w:lineRule="auto"/>
        <w:ind w:firstLine="1695"/>
        <w:jc w:val="both"/>
        <w:rPr>
          <w:rFonts w:ascii="Times New Roman" w:hAnsi="Times New Roman" w:cs="Times New Roman"/>
          <w:b/>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b/>
          <w:sz w:val="26"/>
          <w:szCs w:val="26"/>
        </w:rPr>
        <w:t>(b)</w:t>
      </w:r>
      <w:r>
        <w:rPr>
          <w:rFonts w:ascii="Times New Roman" w:hAnsi="Times New Roman" w:cs="Times New Roman"/>
          <w:sz w:val="26"/>
          <w:szCs w:val="26"/>
        </w:rPr>
        <w:t xml:space="preserve"> no mérito, manter o recebimento cumulado da Gratificação de Atividade Externa – GAE e da Vantagem Pessoal Nominalmente Identificada – VPNI, devendo restituir em contracheque eventuais parcelas suprimidas;</w:t>
      </w: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pStyle w:val="paragraph"/>
        <w:spacing w:before="0" w:beforeAutospacing="0" w:after="0" w:afterAutospacing="0"/>
        <w:ind w:firstLine="1695"/>
        <w:jc w:val="both"/>
        <w:textAlignment w:val="baseline"/>
        <w:rPr>
          <w:rStyle w:val="eop"/>
          <w:sz w:val="26"/>
          <w:szCs w:val="26"/>
        </w:rPr>
      </w:pPr>
      <w:r>
        <w:rPr>
          <w:rStyle w:val="eop"/>
          <w:b/>
          <w:sz w:val="26"/>
          <w:szCs w:val="26"/>
        </w:rPr>
        <w:t xml:space="preserve">(c) </w:t>
      </w:r>
      <w:r>
        <w:rPr>
          <w:rStyle w:val="eop"/>
          <w:sz w:val="26"/>
          <w:szCs w:val="26"/>
        </w:rPr>
        <w:t>sucessivamente, a transformação da Vantagem Pessoal Nominalmente Identificada - VPNI em parcela compensatória a ser absorvida pelos reajustes futuros, com base no entendimento do Tribunal de Contas da União, sem a retroação, conforme fundamentado;</w:t>
      </w:r>
    </w:p>
    <w:p w:rsidR="008F6CA3" w:rsidRDefault="008F6CA3" w:rsidP="00696F57">
      <w:pPr>
        <w:pStyle w:val="paragraph"/>
        <w:spacing w:before="0" w:beforeAutospacing="0" w:after="0" w:afterAutospacing="0"/>
        <w:ind w:firstLine="1695"/>
        <w:jc w:val="both"/>
        <w:textAlignment w:val="baseline"/>
        <w:rPr>
          <w:rStyle w:val="eop"/>
          <w:sz w:val="26"/>
          <w:szCs w:val="26"/>
        </w:rPr>
      </w:pPr>
    </w:p>
    <w:p w:rsidR="008F6CA3" w:rsidRDefault="008F6CA3" w:rsidP="006B67E9">
      <w:pPr>
        <w:pStyle w:val="paragraph"/>
        <w:spacing w:before="0" w:beforeAutospacing="0" w:after="0" w:afterAutospacing="0"/>
        <w:ind w:firstLine="1695"/>
        <w:jc w:val="both"/>
        <w:textAlignment w:val="baseline"/>
        <w:rPr>
          <w:rStyle w:val="eop"/>
          <w:sz w:val="26"/>
          <w:szCs w:val="26"/>
        </w:rPr>
      </w:pPr>
      <w:r>
        <w:rPr>
          <w:rStyle w:val="eop"/>
          <w:b/>
          <w:sz w:val="26"/>
          <w:szCs w:val="26"/>
        </w:rPr>
        <w:t xml:space="preserve">(d) </w:t>
      </w:r>
      <w:r>
        <w:rPr>
          <w:rStyle w:val="eop"/>
          <w:sz w:val="26"/>
          <w:szCs w:val="26"/>
          <w:u w:val="single"/>
        </w:rPr>
        <w:t>em qualquer hipótese</w:t>
      </w:r>
      <w:r>
        <w:rPr>
          <w:rStyle w:val="eop"/>
          <w:sz w:val="26"/>
          <w:szCs w:val="26"/>
        </w:rPr>
        <w:t xml:space="preserve">, diante do que prevê o artigo 246 do Regimento Interno do Tribunal de Contas da União, considerando que não há processo de representação aberto relacionado a este tribunal, pede a </w:t>
      </w:r>
      <w:r>
        <w:rPr>
          <w:rStyle w:val="eop"/>
          <w:b/>
          <w:sz w:val="26"/>
          <w:szCs w:val="26"/>
        </w:rPr>
        <w:t>SUSPENSÃO</w:t>
      </w:r>
      <w:r>
        <w:rPr>
          <w:rStyle w:val="eop"/>
          <w:sz w:val="26"/>
          <w:szCs w:val="26"/>
        </w:rPr>
        <w:t xml:space="preserve"> deste processo administrativo até que o TCU, desincumbindo-se das medidas administrativas adequadas, instaure representação para averiguação dos supostos indícios em autuação própria relacionada a este Tribunal Regional.</w:t>
      </w:r>
    </w:p>
    <w:p w:rsidR="008F6CA3" w:rsidRDefault="008F6CA3" w:rsidP="00696F57">
      <w:pPr>
        <w:pStyle w:val="paragraph"/>
        <w:spacing w:before="0" w:beforeAutospacing="0" w:after="0" w:afterAutospacing="0"/>
        <w:ind w:firstLine="1695"/>
        <w:jc w:val="both"/>
        <w:textAlignment w:val="baseline"/>
        <w:rPr>
          <w:rStyle w:val="eop"/>
          <w:b/>
        </w:rPr>
      </w:pPr>
      <w:bookmarkStart w:id="5" w:name="_GoBack"/>
      <w:bookmarkEnd w:id="5"/>
    </w:p>
    <w:p w:rsidR="008F6CA3" w:rsidRDefault="008F6CA3" w:rsidP="00696F57">
      <w:pPr>
        <w:spacing w:line="240" w:lineRule="auto"/>
        <w:ind w:firstLine="1695"/>
        <w:jc w:val="both"/>
        <w:rPr>
          <w:rFonts w:ascii="Times New Roman" w:hAnsi="Times New Roman" w:cs="Times New Roman"/>
        </w:rPr>
      </w:pPr>
    </w:p>
    <w:p w:rsidR="008F6CA3" w:rsidRDefault="008F6CA3" w:rsidP="00696F57">
      <w:pPr>
        <w:spacing w:line="240" w:lineRule="auto"/>
        <w:ind w:firstLine="1695"/>
        <w:jc w:val="both"/>
        <w:rPr>
          <w:rFonts w:ascii="Times New Roman" w:hAnsi="Times New Roman" w:cs="Times New Roman"/>
          <w:sz w:val="26"/>
          <w:szCs w:val="26"/>
        </w:rPr>
      </w:pPr>
    </w:p>
    <w:p w:rsidR="008F6CA3" w:rsidRDefault="008F6CA3" w:rsidP="00696F57">
      <w:pPr>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highlight w:val="yellow"/>
        </w:rPr>
        <w:t>cidade</w:t>
      </w:r>
      <w:r>
        <w:rPr>
          <w:rFonts w:ascii="Times New Roman" w:hAnsi="Times New Roman" w:cs="Times New Roman"/>
          <w:sz w:val="26"/>
          <w:szCs w:val="26"/>
        </w:rPr>
        <w:t>, [</w:t>
      </w:r>
      <w:r>
        <w:rPr>
          <w:rFonts w:ascii="Times New Roman" w:hAnsi="Times New Roman" w:cs="Times New Roman"/>
          <w:sz w:val="26"/>
          <w:szCs w:val="26"/>
          <w:highlight w:val="yellow"/>
        </w:rPr>
        <w:t>data</w:t>
      </w:r>
      <w:r>
        <w:rPr>
          <w:rFonts w:ascii="Times New Roman" w:hAnsi="Times New Roman" w:cs="Times New Roman"/>
          <w:sz w:val="26"/>
          <w:szCs w:val="26"/>
        </w:rPr>
        <w:t>] de 2020.</w:t>
      </w: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sz w:val="26"/>
          <w:szCs w:val="26"/>
        </w:rPr>
      </w:pPr>
    </w:p>
    <w:p w:rsidR="008F6CA3" w:rsidRDefault="008F6CA3" w:rsidP="00696F57">
      <w:pPr>
        <w:spacing w:line="240" w:lineRule="auto"/>
        <w:ind w:firstLine="1701"/>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NOME DO SERVIDOR</w:t>
      </w:r>
    </w:p>
    <w:p w:rsidR="008F6CA3" w:rsidRDefault="008F6CA3" w:rsidP="00696F57">
      <w:pPr>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highlight w:val="yellow"/>
        </w:rPr>
        <w:t>Matrícula:</w:t>
      </w:r>
      <w:r>
        <w:rPr>
          <w:rFonts w:ascii="Times New Roman" w:hAnsi="Times New Roman" w:cs="Times New Roman"/>
          <w:sz w:val="26"/>
          <w:szCs w:val="26"/>
        </w:rPr>
        <w:t xml:space="preserve"> </w:t>
      </w:r>
    </w:p>
    <w:p w:rsidR="008F6CA3" w:rsidRDefault="008F6CA3" w:rsidP="00696F57"/>
    <w:p w:rsidR="008F6CA3" w:rsidRDefault="008F6CA3" w:rsidP="00696F57">
      <w:pPr>
        <w:shd w:val="clear" w:color="auto" w:fill="FFFFFF"/>
        <w:rPr>
          <w:rFonts w:ascii="Times New Roman" w:hAnsi="Times New Roman" w:cs="Times New Roman"/>
          <w:sz w:val="26"/>
          <w:szCs w:val="26"/>
          <w:highlight w:val="yellow"/>
        </w:rPr>
      </w:pPr>
    </w:p>
    <w:p w:rsidR="008F6CA3" w:rsidRDefault="008F6CA3" w:rsidP="00696F57"/>
    <w:p w:rsidR="008F6CA3" w:rsidRDefault="008F6CA3" w:rsidP="00696F57"/>
    <w:p w:rsidR="008F6CA3" w:rsidRDefault="008F6CA3"/>
    <w:sectPr w:rsidR="008F6CA3" w:rsidSect="001E7C99">
      <w:pgSz w:w="11906" w:h="16838"/>
      <w:pgMar w:top="2552"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A3" w:rsidRDefault="008F6CA3" w:rsidP="00696F57">
      <w:pPr>
        <w:spacing w:line="240" w:lineRule="auto"/>
      </w:pPr>
      <w:r>
        <w:separator/>
      </w:r>
    </w:p>
  </w:endnote>
  <w:endnote w:type="continuationSeparator" w:id="0">
    <w:p w:rsidR="008F6CA3" w:rsidRDefault="008F6CA3" w:rsidP="00696F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A3" w:rsidRDefault="008F6CA3" w:rsidP="00696F57">
      <w:pPr>
        <w:spacing w:line="240" w:lineRule="auto"/>
      </w:pPr>
      <w:r>
        <w:separator/>
      </w:r>
    </w:p>
  </w:footnote>
  <w:footnote w:type="continuationSeparator" w:id="0">
    <w:p w:rsidR="008F6CA3" w:rsidRDefault="008F6CA3" w:rsidP="00696F57">
      <w:pPr>
        <w:spacing w:line="240" w:lineRule="auto"/>
      </w:pPr>
      <w:r>
        <w:continuationSeparator/>
      </w:r>
    </w:p>
  </w:footnote>
  <w:footnote w:id="1">
    <w:p w:rsidR="008F6CA3" w:rsidRDefault="008F6CA3" w:rsidP="00696F57">
      <w:pPr>
        <w:pStyle w:val="FootnoteText"/>
      </w:pPr>
      <w:r>
        <w:rPr>
          <w:rStyle w:val="FootnoteReference"/>
        </w:rPr>
        <w:footnoteRef/>
      </w:r>
      <w:r>
        <w:t xml:space="preserve"> Lei nº 11.416/2006: Art. 16 (...) § 2º É vedada a percepção da gratificação prevista neste artigo pelo servidor designado para o exercício de função comissionada ou nomeado para cargo em comissão.</w:t>
      </w:r>
    </w:p>
  </w:footnote>
  <w:footnote w:id="2">
    <w:p w:rsidR="008F6CA3" w:rsidRDefault="008F6CA3" w:rsidP="00696F57">
      <w:pPr>
        <w:pStyle w:val="FootnoteText"/>
      </w:pPr>
      <w:r>
        <w:rPr>
          <w:rStyle w:val="FootnoteReference"/>
        </w:rPr>
        <w:footnoteRef/>
      </w:r>
      <w:r>
        <w:t xml:space="preserve"> Ato Regulamentar CJF nº 641/1987: Art 1º - As atuais funções de Auxiliar I e Auxiliar II, constantes da Tabela de Gratificações de Representação de Gabinete das Secretarias das Seções Judiciárias da Justiça federal de Primeira Instância, ficam transformados em Auxiliar Especializada.  Art 2º - São criadas, na referida Tabela as seguintes funções: Oficial de Gabinete: 163, (...), Executante de Mandados: (779). Art 3º - As designações para as funções a que se referem os artigos 1º e 2º far-se-ão por atos do Diretor do Foro da respectiva Seção Judiciária, após a indicação do Juiz Federal a que estiverem subordinados os servidores, observando-se os seguintes critérios: (...)</w:t>
      </w:r>
    </w:p>
  </w:footnote>
  <w:footnote w:id="3">
    <w:p w:rsidR="008F6CA3" w:rsidRDefault="008F6CA3" w:rsidP="00696F57">
      <w:pPr>
        <w:spacing w:line="240" w:lineRule="auto"/>
        <w:jc w:val="both"/>
      </w:pPr>
      <w:r>
        <w:rPr>
          <w:sz w:val="18"/>
          <w:szCs w:val="18"/>
          <w:vertAlign w:val="superscript"/>
        </w:rPr>
        <w:footnoteRef/>
      </w:r>
      <w:r>
        <w:rPr>
          <w:sz w:val="18"/>
          <w:szCs w:val="18"/>
        </w:rPr>
        <w:t xml:space="preserve"> </w:t>
      </w:r>
      <w:r>
        <w:rPr>
          <w:sz w:val="18"/>
          <w:szCs w:val="18"/>
          <w:highlight w:val="white"/>
        </w:rPr>
        <w:t>ADMINISTRATIVO. SERVIDOR PÚBLICO. OFICIAL DE JUSTIÇAAVALIADOR. JUSTIÇA DO TRABALHO. GRATIFICAÇÃO DE EXECUTANTE DE MANDADOS. EXTENSÃO ATO REGULAMENTAR 641/87-CJF. </w:t>
      </w:r>
      <w:r>
        <w:rPr>
          <w:b/>
          <w:sz w:val="18"/>
          <w:szCs w:val="18"/>
          <w:highlight w:val="white"/>
        </w:rPr>
        <w:t>A Gratificação de Executante de Mandados não é devida automaticamente aos ocupantes do cargo de Oficial de Justiça-Avaliador, ficando seu exercício condicionado à indicação da chefia, tratando-se, portanto, de ato discricionário da Administração</w:t>
      </w:r>
      <w:r>
        <w:rPr>
          <w:sz w:val="18"/>
          <w:szCs w:val="18"/>
          <w:highlight w:val="white"/>
        </w:rPr>
        <w:t>. Inviável a extensão do Ato Regulamentar nº 641/87 expedido pelo Conselho da Justiça Federal, por meio do qual foram criadas as Gratificações de Executante de Mandados no âmbito da Justiça Federal, para os servidores da Justiça do Trabalho. Prequestionamento quanto à legislação invocada estabelecido pelas razões de decidir. Apelação improvida. (TRF4, AC 2003.71.00.070778-2, TERCEIRA TURMA, Relator NICOLAU KONKEL JÚNIOR, D.E. 19/08/2009)</w:t>
      </w:r>
    </w:p>
  </w:footnote>
  <w:footnote w:id="4">
    <w:p w:rsidR="008F6CA3" w:rsidRDefault="008F6CA3" w:rsidP="00696F57">
      <w:pPr>
        <w:spacing w:line="240" w:lineRule="auto"/>
        <w:jc w:val="both"/>
      </w:pPr>
      <w:r>
        <w:rPr>
          <w:sz w:val="18"/>
          <w:szCs w:val="18"/>
          <w:vertAlign w:val="superscript"/>
        </w:rPr>
        <w:footnoteRef/>
      </w:r>
      <w:r>
        <w:rPr>
          <w:sz w:val="18"/>
          <w:szCs w:val="18"/>
        </w:rPr>
        <w:t xml:space="preserve"> ADMINISTRATIVO. OFICIAL DE JUSTIÇA DO JUDICIÁRIO FEDERAL. LEI N. 9.421/96. AUSÊNCIA DE DIREITO SUBJETIVO À FUNÇÃO COMISSIONADA FC-05. IMPOSSIBILIDADE DE EXTENSÃO DE VANTAGEM, PELO JUDICIÁRIO, SOB O FUNDAMENTO DE APLICAÇÃO DO PRINCÍPIO DA ISONOMIA. SÚMULA 339-STF. 1. A Lei nº 9.421/96, que instituiu o anterior plano de cargos e salários dos servidores do Judiciário Federal, não previa qualquer vinculação entre o exercício das atribuições de executante de mandados e o recebimento da função comissionada FC-05. Portanto, os oficiais de justiça da Justiça Federal não detinham direito subjetivo à percepção da nominada vantagem pecuniária. 2. Conforme doutrina jurisprudencial do Supremo Tribunal Federal, consagrada na Súmula 339, "Não cabe ao Poder Judiciário, que não tem função legislativa, aumentar vencimentos de servidores públicos sob fundamento de isonomia". 3. Recurso de apelação não provido. (TRF2, AC 2004.50.01.006976-9, SETIMA TURMA ESPECIALIZADA, Relator SALETE MACCALÓZ, D.O 20.05.2010).</w:t>
      </w:r>
    </w:p>
  </w:footnote>
  <w:footnote w:id="5">
    <w:p w:rsidR="008F6CA3" w:rsidRDefault="008F6CA3" w:rsidP="00696F57">
      <w:pPr>
        <w:pStyle w:val="FootnoteText"/>
      </w:pPr>
      <w:r>
        <w:rPr>
          <w:rStyle w:val="FootnoteReference"/>
        </w:rPr>
        <w:footnoteRef/>
      </w:r>
      <w:r>
        <w:t xml:space="preserve"> Lei nº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 </w:t>
      </w:r>
    </w:p>
  </w:footnote>
  <w:footnote w:id="6">
    <w:p w:rsidR="008F6CA3" w:rsidRDefault="008F6CA3" w:rsidP="00696F57">
      <w:pPr>
        <w:spacing w:line="240" w:lineRule="auto"/>
        <w:jc w:val="both"/>
      </w:pPr>
      <w:r>
        <w:rPr>
          <w:sz w:val="18"/>
          <w:szCs w:val="18"/>
          <w:vertAlign w:val="superscript"/>
        </w:rPr>
        <w:footnoteRef/>
      </w:r>
      <w:r>
        <w:rPr>
          <w:sz w:val="18"/>
          <w:szCs w:val="18"/>
        </w:rPr>
        <w:t xml:space="preserve"> 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w:t>
      </w:r>
      <w:r>
        <w:rPr>
          <w:b/>
          <w:sz w:val="18"/>
          <w:szCs w:val="18"/>
          <w:u w:val="single"/>
        </w:rPr>
        <w:t>à representação</w:t>
      </w:r>
      <w:r>
        <w:rPr>
          <w:sz w:val="18"/>
          <w:szCs w:val="18"/>
        </w:rPr>
        <w:t> e a gratificação de atividade pelo desempenho de função, quando se tratar de cargo em comissão ou função de direção, chefia e assessoramento dos Grupos: Direção e Assessoramento Superiores - DAS e Cargo de Direção - CD.” </w:t>
      </w:r>
    </w:p>
  </w:footnote>
  <w:footnote w:id="7">
    <w:p w:rsidR="008F6CA3" w:rsidRDefault="008F6CA3" w:rsidP="00696F57">
      <w:pPr>
        <w:spacing w:line="240" w:lineRule="auto"/>
        <w:jc w:val="both"/>
      </w:pPr>
      <w:r>
        <w:rPr>
          <w:sz w:val="18"/>
          <w:szCs w:val="18"/>
          <w:vertAlign w:val="superscript"/>
        </w:rPr>
        <w:footnoteRef/>
      </w:r>
      <w:r>
        <w:rPr>
          <w:sz w:val="18"/>
          <w:szCs w:val="18"/>
        </w:rPr>
        <w:t xml:space="preserve"> 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w:t>
      </w:r>
      <w:r>
        <w:rPr>
          <w:b/>
          <w:sz w:val="18"/>
          <w:szCs w:val="18"/>
        </w:rPr>
        <w:t>A gratificação prevista neste artigo incorpora-se à remuneração do servidor e integra o provento da aposentadoria, na proporção de 1/5 (um quinto) por ano de exercício na função de direção, chefia ou assessoramento, até o limite de 5 (cinco) quintos</w:t>
      </w:r>
      <w:r>
        <w:rPr>
          <w:sz w:val="18"/>
          <w:szCs w:val="18"/>
        </w:rPr>
        <w:t>.”</w:t>
      </w:r>
    </w:p>
  </w:footnote>
  <w:footnote w:id="8">
    <w:p w:rsidR="008F6CA3" w:rsidRDefault="008F6CA3" w:rsidP="00696F57">
      <w:pPr>
        <w:spacing w:line="240" w:lineRule="auto"/>
        <w:jc w:val="both"/>
      </w:pPr>
      <w:r>
        <w:rPr>
          <w:sz w:val="18"/>
          <w:szCs w:val="18"/>
          <w:vertAlign w:val="superscript"/>
        </w:rPr>
        <w:footnoteRef/>
      </w:r>
      <w:r>
        <w:rPr>
          <w:sz w:val="18"/>
          <w:szCs w:val="18"/>
        </w:rPr>
        <w:t xml:space="preserve"> 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w:t>
      </w:r>
    </w:p>
  </w:footnote>
  <w:footnote w:id="9">
    <w:p w:rsidR="008F6CA3" w:rsidRDefault="008F6CA3" w:rsidP="00696F57">
      <w:pPr>
        <w:spacing w:line="240" w:lineRule="auto"/>
        <w:jc w:val="both"/>
      </w:pPr>
      <w:r>
        <w:rPr>
          <w:sz w:val="18"/>
          <w:szCs w:val="18"/>
          <w:vertAlign w:val="superscript"/>
        </w:rPr>
        <w:footnoteRef/>
      </w:r>
      <w:r>
        <w:rPr>
          <w:sz w:val="18"/>
          <w:szCs w:val="18"/>
        </w:rPr>
        <w:t xml:space="preserve"> Constituição Federal: “Art. 5º (...) II - ninguém será obrigado a fazer ou deixar de fazer alguma coisa senão em virtude de lei; (...) Art. 37. A administração pública direta e indireta de qualquer dos Poderes da União, dos Estados, do Distrito Federal e dos Municípios obedecerá aos princípios de legalidade, impessoalidade, moralidade, publicidade e eficiência e, também, ao seguinte:”   </w:t>
      </w:r>
    </w:p>
  </w:footnote>
  <w:footnote w:id="10">
    <w:p w:rsidR="008F6CA3" w:rsidRDefault="008F6CA3" w:rsidP="00696F57">
      <w:pPr>
        <w:spacing w:line="240" w:lineRule="auto"/>
        <w:jc w:val="both"/>
      </w:pPr>
      <w:r>
        <w:rPr>
          <w:sz w:val="18"/>
          <w:szCs w:val="18"/>
          <w:vertAlign w:val="superscript"/>
        </w:rPr>
        <w:footnoteRef/>
      </w:r>
      <w:r>
        <w:rPr>
          <w:sz w:val="18"/>
          <w:szCs w:val="18"/>
        </w:rPr>
        <w:t xml:space="preserve"> Conforme art. 30, da Lei 11.416, de 2006, que previu a implementação parcelada das diferenças entre o vencimento fixado pela Lei 10.475/2002 e aquele implementado por ela, sendo a última parcela implementada em dezembro de 2008.</w:t>
      </w:r>
    </w:p>
  </w:footnote>
  <w:footnote w:id="11">
    <w:p w:rsidR="008F6CA3" w:rsidRDefault="008F6CA3" w:rsidP="00696F57">
      <w:pPr>
        <w:spacing w:line="240" w:lineRule="auto"/>
        <w:jc w:val="both"/>
        <w:rPr>
          <w:sz w:val="18"/>
          <w:szCs w:val="18"/>
        </w:rPr>
      </w:pPr>
      <w:r>
        <w:rPr>
          <w:rStyle w:val="FootnoteReference"/>
          <w:rFonts w:cs="Arial"/>
        </w:rPr>
        <w:footnoteRef/>
      </w:r>
      <w:r>
        <w:t xml:space="preserve"> </w:t>
      </w:r>
      <w:r>
        <w:rPr>
          <w:b/>
          <w:bCs/>
          <w:sz w:val="18"/>
          <w:szCs w:val="18"/>
        </w:rPr>
        <w:t>A vantagem pessoal</w:t>
      </w:r>
      <w:r>
        <w:rPr>
          <w:sz w:val="18"/>
          <w:szCs w:val="18"/>
        </w:rPr>
        <w:t xml:space="preserve">, regularmente apostilada pelo exercício do cargo em comissão, </w:t>
      </w:r>
      <w:r>
        <w:rPr>
          <w:b/>
          <w:bCs/>
          <w:sz w:val="18"/>
          <w:szCs w:val="18"/>
        </w:rPr>
        <w:t xml:space="preserve">incorpora-se ao patrimônio do servidor, não podendo o percentual agregado ser suprimido sob pena de ofensa ao direito adquirido </w:t>
      </w:r>
      <w:r>
        <w:rPr>
          <w:sz w:val="18"/>
          <w:szCs w:val="18"/>
        </w:rPr>
        <w:t>(Acórdão unânime da 2ª Turma do Supremo Tribunal Federal Agravo Regimental no Agravo de Instrumento 208.932-3-SC Relator: Ministro Maurício Corrêa, julgado em 21.08.2001) (grifou-se)(...)</w:t>
      </w:r>
    </w:p>
    <w:p w:rsidR="008F6CA3" w:rsidRDefault="008F6CA3" w:rsidP="00696F57">
      <w:pPr>
        <w:spacing w:line="240" w:lineRule="auto"/>
        <w:jc w:val="both"/>
      </w:pPr>
      <w:r>
        <w:rPr>
          <w:sz w:val="18"/>
          <w:szCs w:val="18"/>
        </w:rPr>
        <w:t xml:space="preserve">1 - </w:t>
      </w:r>
      <w:r>
        <w:rPr>
          <w:b/>
          <w:bCs/>
          <w:sz w:val="18"/>
          <w:szCs w:val="18"/>
        </w:rPr>
        <w:t>Consoante uníssona jurisprudência desta Corte Superior</w:t>
      </w:r>
      <w:r>
        <w:rPr>
          <w:sz w:val="18"/>
          <w:szCs w:val="18"/>
        </w:rPr>
        <w:t xml:space="preserve">, através de suas 5ª e 6ª Turmas, competentes para julgar o tema (cf. entre outros, ROMS nºs 12.122/DF, 12.138/DF, 11.676/DF, 11.172/RS; e REsp nºs 254.709/DF, 396.791/DF, 275.189/DF), </w:t>
      </w:r>
      <w:r>
        <w:rPr>
          <w:b/>
          <w:bCs/>
          <w:sz w:val="18"/>
          <w:szCs w:val="18"/>
        </w:rPr>
        <w:t>os chamados "quintos", uma vez incorporados, tornam-se vantagens pessoais, não podendo mais ser retirados do patrimônio de seus beneficiários. (...) (STJ. 5ª Turma, RMS nº 13.299-DF, rel. Min. Jorge Scartezzini, DJ d  13-10-03, p. 378). (grifou-se)</w:t>
      </w:r>
    </w:p>
  </w:footnote>
  <w:footnote w:id="12">
    <w:p w:rsidR="008F6CA3" w:rsidRDefault="008F6CA3" w:rsidP="00696F57">
      <w:pPr>
        <w:spacing w:line="240" w:lineRule="auto"/>
        <w:jc w:val="both"/>
      </w:pPr>
      <w:r>
        <w:rPr>
          <w:sz w:val="18"/>
          <w:szCs w:val="18"/>
          <w:vertAlign w:val="superscript"/>
        </w:rPr>
        <w:footnoteRef/>
      </w:r>
      <w:r>
        <w:rPr>
          <w:sz w:val="18"/>
          <w:szCs w:val="18"/>
        </w:rPr>
        <w:t xml:space="preserve"> Despacho SECOI 1243511: “Assim, uma vez que parece patente o equívoco técnico apontado, a par de encaminhar os autos a Vossa Senhoria para melhor exame, solicito seja considerada pela Administração a possibilidade de o Conselho Superior da Justiça do Trabalho ser provocado a consultar o Tribunal de Contas da União sobre o tema versado no Acórdão nº 2784/2016 – TCU – Plenário (1229756), sob pena de que sejam causados injustos e imensos prejuízos à categoria dos Oficiais de Justiça.”</w:t>
      </w:r>
    </w:p>
  </w:footnote>
  <w:footnote w:id="13">
    <w:p w:rsidR="008F6CA3" w:rsidRDefault="008F6CA3" w:rsidP="00696F57">
      <w:pPr>
        <w:spacing w:line="240" w:lineRule="auto"/>
        <w:jc w:val="both"/>
      </w:pPr>
      <w:r>
        <w:rPr>
          <w:sz w:val="18"/>
          <w:szCs w:val="18"/>
          <w:vertAlign w:val="superscript"/>
        </w:rPr>
        <w:footnoteRef/>
      </w:r>
      <w:r>
        <w:rPr>
          <w:sz w:val="18"/>
          <w:szCs w:val="18"/>
        </w:rPr>
        <w:t xml:space="preserve"> Análise DIGER 1236652: “Assim, por qualquer ângulo que se encare a questão, emerge equívoco interpretativo que não encontra eco nas disposições legais, ostentando, ademais, potencial de lesão ao direito adquirido e ao ato jurídico perfeito, razão pela qual tenho pelo afastamento de qualquer ilegalidade a permear a acumulação de GAE e VPNI.”</w:t>
      </w:r>
    </w:p>
  </w:footnote>
  <w:footnote w:id="14">
    <w:p w:rsidR="008F6CA3" w:rsidRDefault="008F6CA3" w:rsidP="00696F57">
      <w:pPr>
        <w:pStyle w:val="FootnoteText"/>
      </w:pPr>
      <w:r>
        <w:rPr>
          <w:rStyle w:val="FootnoteReference"/>
        </w:rPr>
        <w:footnoteRef/>
      </w:r>
      <w:r>
        <w:t xml:space="preserve"> Constituição da República: Art. 40. (...) § 12. Além do disposto neste artigo, serão observados, em regime próprio de previdência social, no que couber, os requisitos e critérios fixados para o Regime Geral de Previdência Social. (...) Art. 201. (...) § 11. Os ganhos habituais do empregado, a qualquer título, serão incorporados ao salário para efeito de contribuição previdenciária e conseqüente repercussão em benefícios, nos casos e na forma da lei.</w:t>
      </w:r>
    </w:p>
  </w:footnote>
  <w:footnote w:id="15">
    <w:p w:rsidR="008F6CA3" w:rsidRDefault="008F6CA3" w:rsidP="00696F57">
      <w:pPr>
        <w:spacing w:line="240" w:lineRule="auto"/>
        <w:jc w:val="both"/>
      </w:pPr>
      <w:r>
        <w:rPr>
          <w:rStyle w:val="FootnoteReference"/>
          <w:rFonts w:cs="Arial"/>
          <w:sz w:val="18"/>
          <w:szCs w:val="18"/>
        </w:rPr>
        <w:footnoteRef/>
      </w:r>
      <w:r>
        <w:rPr>
          <w:sz w:val="18"/>
          <w:szCs w:val="18"/>
        </w:rPr>
        <w:t xml:space="preserve"> Disponível em: https://jurisprudencia.stf.jus.br/pages/search/sjur426663/false</w:t>
      </w:r>
    </w:p>
  </w:footnote>
  <w:footnote w:id="16">
    <w:p w:rsidR="008F6CA3" w:rsidRDefault="008F6CA3" w:rsidP="00696F57">
      <w:pPr>
        <w:pStyle w:val="FootnoteText"/>
      </w:pPr>
      <w:r>
        <w:rPr>
          <w:rStyle w:val="FootnoteReference"/>
        </w:rPr>
        <w:footnoteRef/>
      </w:r>
      <w:r>
        <w:t xml:space="preserve"> Conforme o constitucionalista português, “a segurança jurídica está conexionada com elementos objectivos da ordem jurídica – garantia de estabilidade jurídica, segurança de orientação e realização do direito – enquanto a proteção da confiança se prende mais com as componentes subjectivas da confiança, designadamente a calculabilidade e previsibilidade dos indivíduos em relação aos efeitos jurídicos dos actos dos poderes públicos” (CANOTILHO, J. J. Gomes. Direito constitucional e teoria da constituição, 3ª ed. Coimbra: Almedina, 1999, p. 252)</w:t>
      </w:r>
    </w:p>
  </w:footnote>
  <w:footnote w:id="17">
    <w:p w:rsidR="008F6CA3" w:rsidRDefault="008F6CA3" w:rsidP="00696F57">
      <w:pPr>
        <w:pStyle w:val="FootnoteText"/>
      </w:pPr>
      <w:r>
        <w:rPr>
          <w:rStyle w:val="FootnoteReference"/>
        </w:rPr>
        <w:footnoteRef/>
      </w:r>
      <w:r>
        <w:t xml:space="preserve"> Ibid., op. cit., p. 252. Assim, por força do princípio da segurança jurídica, considerado em sentido amplo, arremata Canotilho que o indivíduo tem do direito poder confiar em que aos seus atos ou às decisões públicas incidentes sobre os seus direitos, posições ou relações jurídicas alicerçados em normas jurídicas vigentes e válidas, decorrem os efeitos jurídicos previstos e prescritos pelo ordenamento jurídico.</w:t>
      </w:r>
    </w:p>
  </w:footnote>
  <w:footnote w:id="18">
    <w:p w:rsidR="008F6CA3" w:rsidRDefault="008F6CA3" w:rsidP="00696F57">
      <w:pPr>
        <w:pStyle w:val="FootnoteText"/>
      </w:pPr>
      <w:r>
        <w:rPr>
          <w:rStyle w:val="FootnoteReference"/>
          <w:szCs w:val="18"/>
        </w:rPr>
        <w:footnoteRef/>
      </w:r>
      <w:r>
        <w:rPr>
          <w:szCs w:val="18"/>
        </w:rPr>
        <w:t xml:space="preserve"> No mesmo sentido é a Lei Complementar Distrital 840, de 2011: Art. 120. [...] Parágrafo único. É vedado exigir reposição de valor em virtude de aplicação retroativa de nova interpretação da norma de regência</w:t>
      </w:r>
    </w:p>
  </w:footnote>
  <w:footnote w:id="19">
    <w:p w:rsidR="008F6CA3" w:rsidRDefault="008F6CA3" w:rsidP="00696F57">
      <w:pPr>
        <w:pStyle w:val="FootnoteText"/>
      </w:pPr>
      <w:r>
        <w:rPr>
          <w:rStyle w:val="FootnoteReference"/>
          <w:szCs w:val="18"/>
        </w:rPr>
        <w:footnoteRef/>
      </w:r>
      <w:r>
        <w:rPr>
          <w:szCs w:val="18"/>
        </w:rPr>
        <w:t xml:space="preserve"> Lei 9.784, de 1999: “Art. 2º A Administração Pública obedecerá, dentre outros, aos princípios da legalidade, finalidade, motivação, razoabilidade, proporcionalidade, moralidade, ampla defesa, contraditório, segurança jurídica, interesse público e eficiência.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F57"/>
    <w:rsid w:val="00194410"/>
    <w:rsid w:val="001E7C99"/>
    <w:rsid w:val="003944CC"/>
    <w:rsid w:val="004F6503"/>
    <w:rsid w:val="00696F57"/>
    <w:rsid w:val="006B67E9"/>
    <w:rsid w:val="008F6CA3"/>
    <w:rsid w:val="00941D48"/>
    <w:rsid w:val="0096626B"/>
    <w:rsid w:val="00976588"/>
    <w:rsid w:val="00A436F2"/>
    <w:rsid w:val="00B730EE"/>
    <w:rsid w:val="00D17089"/>
    <w:rsid w:val="00D93062"/>
    <w:rsid w:val="00E40D6B"/>
    <w:rsid w:val="11D73D47"/>
    <w:rsid w:val="1DF28E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7"/>
    <w:pPr>
      <w:spacing w:line="276" w:lineRule="auto"/>
    </w:pPr>
    <w:rPr>
      <w:rFonts w:ascii="Arial" w:hAnsi="Arial" w:cs="Arial"/>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96F57"/>
    <w:rPr>
      <w:rFonts w:cs="Times New Roman"/>
      <w:vertAlign w:val="superscript"/>
    </w:rPr>
  </w:style>
  <w:style w:type="character" w:customStyle="1" w:styleId="FootnoteTextChar">
    <w:name w:val="Footnote Text Char"/>
    <w:aliases w:val="ESC-Rodapé Char,ESC-Rodapé Char Char Char,Char Char"/>
    <w:link w:val="FootnoteText"/>
    <w:uiPriority w:val="99"/>
    <w:semiHidden/>
    <w:locked/>
    <w:rsid w:val="00696F57"/>
    <w:rPr>
      <w:rFonts w:cs="Times New Roman"/>
      <w:sz w:val="20"/>
      <w:szCs w:val="20"/>
    </w:rPr>
  </w:style>
  <w:style w:type="paragraph" w:styleId="FootnoteText">
    <w:name w:val="footnote text"/>
    <w:aliases w:val="ESC-Rodapé,ESC-Rodapé Char Char,Char"/>
    <w:basedOn w:val="Normal"/>
    <w:link w:val="FootnoteTextChar1"/>
    <w:uiPriority w:val="99"/>
    <w:semiHidden/>
    <w:rsid w:val="00696F57"/>
    <w:pPr>
      <w:spacing w:line="240" w:lineRule="auto"/>
    </w:pPr>
    <w:rPr>
      <w:rFonts w:ascii="Calibri" w:hAnsi="Calibri" w:cs="Times New Roman"/>
      <w:sz w:val="20"/>
      <w:szCs w:val="20"/>
      <w:lang w:eastAsia="en-US"/>
    </w:rPr>
  </w:style>
  <w:style w:type="character" w:customStyle="1" w:styleId="FootnoteTextChar1">
    <w:name w:val="Footnote Text Char1"/>
    <w:aliases w:val="ESC-Rodapé Char1,ESC-Rodapé Char Char Char1,Char Char1"/>
    <w:basedOn w:val="DefaultParagraphFont"/>
    <w:link w:val="FootnoteText"/>
    <w:uiPriority w:val="99"/>
    <w:semiHidden/>
    <w:locked/>
    <w:rPr>
      <w:rFonts w:ascii="Arial" w:hAnsi="Arial" w:cs="Arial"/>
      <w:sz w:val="20"/>
      <w:szCs w:val="20"/>
      <w:lang w:eastAsia="ja-JP"/>
    </w:rPr>
  </w:style>
  <w:style w:type="character" w:customStyle="1" w:styleId="TextodenotaderodapChar1">
    <w:name w:val="Texto de nota de rodapé Char1"/>
    <w:basedOn w:val="DefaultParagraphFont"/>
    <w:uiPriority w:val="99"/>
    <w:semiHidden/>
    <w:rsid w:val="00696F57"/>
    <w:rPr>
      <w:rFonts w:ascii="Arial" w:hAnsi="Arial" w:cs="Arial"/>
      <w:sz w:val="20"/>
      <w:szCs w:val="20"/>
      <w:lang w:eastAsia="ja-JP"/>
    </w:rPr>
  </w:style>
  <w:style w:type="character" w:customStyle="1" w:styleId="eop">
    <w:name w:val="eop"/>
    <w:basedOn w:val="DefaultParagraphFont"/>
    <w:uiPriority w:val="99"/>
    <w:rsid w:val="00696F57"/>
    <w:rPr>
      <w:rFonts w:cs="Times New Roman"/>
    </w:rPr>
  </w:style>
  <w:style w:type="paragraph" w:customStyle="1" w:styleId="paragraph">
    <w:name w:val="paragraph"/>
    <w:basedOn w:val="Normal"/>
    <w:uiPriority w:val="99"/>
    <w:rsid w:val="00696F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uiPriority w:val="99"/>
    <w:rsid w:val="00696F57"/>
    <w:rPr>
      <w:rFonts w:cs="Times New Roman"/>
    </w:rPr>
  </w:style>
</w:styles>
</file>

<file path=word/webSettings.xml><?xml version="1.0" encoding="utf-8"?>
<w:webSettings xmlns:r="http://schemas.openxmlformats.org/officeDocument/2006/relationships" xmlns:w="http://schemas.openxmlformats.org/wordprocessingml/2006/main">
  <w:divs>
    <w:div w:id="1172724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37</Pages>
  <Words>14340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RecAdm_GAE-FC_Padrão(18-09-2020)</dc:title>
  <dc:subject/>
  <dc:creator>Letícia Kaufmann</dc:creator>
  <cp:keywords/>
  <dc:description/>
  <cp:lastModifiedBy>GERALDOM</cp:lastModifiedBy>
  <cp:revision>3</cp:revision>
  <dcterms:created xsi:type="dcterms:W3CDTF">2020-09-20T23:00:00Z</dcterms:created>
  <dcterms:modified xsi:type="dcterms:W3CDTF">2020-09-21T23:43:00Z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0x010100998248CDCAB5A34E941FB83B06E8C452</vt:lpwstr>
  </property>
  <property fmtid="{D5CDD505-2E9C-101B-9397-08002B2CF9AE}" pid="3" name="Entrega">
    <vt:lpwstr/>
  </property>
  <property fmtid="{D5CDD505-2E9C-101B-9397-08002B2CF9AE}" pid="4" name="Entregador">
    <vt:lpwstr>2641;#Julia Santos</vt:lpwstr>
  </property>
  <property fmtid="{D5CDD505-2E9C-101B-9397-08002B2CF9AE}" pid="5" name="Status">
    <vt:lpwstr>Em Desenvolvimento</vt:lpwstr>
  </property>
  <property fmtid="{D5CDD505-2E9C-101B-9397-08002B2CF9AE}" pid="6" name="Cliente">
    <vt:lpwstr>Padrão</vt:lpwstr>
  </property>
  <property fmtid="{D5CDD505-2E9C-101B-9397-08002B2CF9AE}" pid="7" name="Entidade">
    <vt:lpwstr>61</vt:lpwstr>
  </property>
  <property fmtid="{D5CDD505-2E9C-101B-9397-08002B2CF9AE}" pid="8" name="Encaminhar para Entrega">
    <vt:lpwstr/>
  </property>
  <property fmtid="{D5CDD505-2E9C-101B-9397-08002B2CF9AE}" pid="9" name="Destinatario">
    <vt:lpwstr>2</vt:lpwstr>
  </property>
  <property fmtid="{D5CDD505-2E9C-101B-9397-08002B2CF9AE}" pid="10" name="Habilitar Mudança de Nome">
    <vt:lpwstr/>
  </property>
  <property fmtid="{D5CDD505-2E9C-101B-9397-08002B2CF9AE}" pid="11" name="PublishingExpirationDate">
    <vt:lpwstr/>
  </property>
  <property fmtid="{D5CDD505-2E9C-101B-9397-08002B2CF9AE}" pid="12" name="NomeAlterado">
    <vt:lpwstr>1</vt:lpwstr>
  </property>
  <property fmtid="{D5CDD505-2E9C-101B-9397-08002B2CF9AE}" pid="13" name="PublishingStartDate">
    <vt:lpwstr/>
  </property>
  <property fmtid="{D5CDD505-2E9C-101B-9397-08002B2CF9AE}" pid="14" name="AssuntodoDocumento">
    <vt:lpwstr>85</vt:lpwstr>
  </property>
  <property fmtid="{D5CDD505-2E9C-101B-9397-08002B2CF9AE}" pid="15" name="Processo">
    <vt:lpwstr/>
  </property>
  <property fmtid="{D5CDD505-2E9C-101B-9397-08002B2CF9AE}" pid="16" name="Fluxo de Aprovação de Documentos">
    <vt:lpwstr>https://servidoradv.sharepoint.com/causas-coletivas/_layouts/15/wrkstat.aspx?List=e3718376-4e92-4ff6-af16-fb096180aea3&amp;WorkflowInstanceName=9bb65d1e-abb0-4421-9a88-dd3239cc4c52, Desenvolvimento do Documento</vt:lpwstr>
  </property>
  <property fmtid="{D5CDD505-2E9C-101B-9397-08002B2CF9AE}" pid="17" name="TipodoDocumento">
    <vt:lpwstr>75</vt:lpwstr>
  </property>
  <property fmtid="{D5CDD505-2E9C-101B-9397-08002B2CF9AE}" pid="18" name="Revisor">
    <vt:lpwstr>1582;#Letícia Kaufmann</vt:lpwstr>
  </property>
</Properties>
</file>